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湖南省教育科学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三五”规划</w:t>
      </w: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24"/>
          <w:szCs w:val="24"/>
        </w:rPr>
        <w:t>2019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年度专项课题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申报指南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380"/>
        <w:jc w:val="left"/>
        <w:rPr>
          <w:rFonts w:hint="eastAsia" w:ascii="仿宋" w:hAnsi="仿宋" w:eastAsia="仿宋" w:cs="仿宋"/>
          <w:sz w:val="24"/>
          <w:szCs w:val="24"/>
        </w:rPr>
      </w:pPr>
      <w:bookmarkStart w:id="0" w:name="bookmark1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一</w:t>
      </w:r>
      <w:bookmarkEnd w:id="0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、中小学教师发展研究专项课题申报指南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63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.重点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资助课题名即为研究题目，申请人不得变更，不得加副 标题，不得自行命题，否则不予受理。一般资助课题为研究领域 和方向，申请人可据此分解、细化，题目自拟。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5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（-）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重点资助课题</w:t>
      </w:r>
      <w:bookmarkStart w:id="4" w:name="_GoBack"/>
      <w:bookmarkEnd w:id="4"/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3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县域推进师德养成教育的实效性研究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3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教师培训师培养与认定的实践研究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3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L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中小学教师资格考试面试的管理与实施研究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3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区域教师培训管理信息化平台应用研究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3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中小学教师信息技术应用能力测评研究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50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（二）一般资助课题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3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新时代师德培养的有效途径与方法研究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3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名师（名校长）自主发展与协同培养机制研究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3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8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新时代中小学教师专业发展研究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3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9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市县教师培训团队培养与管理实践研究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0" w:lineRule="exact"/>
        <w:ind w:left="0" w:right="0" w:firstLine="38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教师工作坊研修的实践研究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4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 xml:space="preserve">11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vertAlign w:val="superscript"/>
          <w:lang w:val="en-US" w:eastAsia="en-US" w:bidi="en-US"/>
        </w:rPr>
        <w:t>w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以学员为中心”教师培训理论研究与模型构建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4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区域中小学教师分层分类培训实践研究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4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教师培训课程标准及应用研究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4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省级教师培训特色基地校创建研究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4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中小学书法教育实施中的问题与对策研究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4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中小学教师资格认定与注册制度的有效性研究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4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bookmarkStart w:id="1" w:name="bookmark1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二</w:t>
      </w:r>
      <w:bookmarkEnd w:id="1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、教育财建管理研究专项课题申报指南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4" w:lineRule="exact"/>
        <w:ind w:left="0" w:right="0"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财建专项课题研究主要立足我省各级各类学校管理现实需 要，注重解决实际问题，以实证、案例研究为主，着力解决当前 我省教育系统财务、基建、国资、后勤管理和内部审计工作的痛 点、难点问题，为教育行政部门和省委省政府提供决策参考。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4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新时代学校预算定额标准体系与全面预算管理研究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02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基于事项驱动和绩效导向的教育预算、核算和内部控制 问题研究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02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基于政府会计制度改革的高校绩效管理和成本核算问题 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4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1.4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“放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管服”改革背景下的高校财务管控体系研究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4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高校债务管控与风险防范问题研究；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6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促进城乡义务教育一体化改革发展的教育经费投入保障 问题研究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74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新高考改革后普通高中教育投入与经费使用问题研究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8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新时代教育成本分担机制与教育收费问题研究。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1.9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“放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管服”改革背景下的高校国有资产管理问题研究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 xml:space="preserve">10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园贷”问题调研和风险防范研究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消除义务教育和高中教育大班额长效机制研究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基于三全育人理念的高校物业服务新模式构建与实践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学生食堂应对物价剧烈波动的对策研究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中小学学生食堂餐饮成本控制调查研究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基于物联网和人工智能的精准后勤服务探索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企业托管服务学校食堂质量监管机制研究与探索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教育内部审计全覆盖监督体系构建与实践研究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1.18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教育内部审计信息化建设的理论与实践研究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19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推动党和国家重大教育政策有效落实的内部审计研究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20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基于内部审计的教育科学决策与风险防范机制研究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bookmarkStart w:id="2" w:name="bookmark1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三</w:t>
      </w:r>
      <w:bookmarkEnd w:id="2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、高校学生就业创业研究专项课题申报指南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高校就业创业服务内涵提升研究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引导和鼓励高校毕业生服务国家和地方发展战略研究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我省高校创新创业就业教育现状及对策研究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毕业生就业档案的信息化、数字化管理研究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高校创业孵化平台服务地方双创工作机制研究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高校创业资源调研与共享机制研究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'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5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就业创业教育促进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“双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创”升级发展研究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1.8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大学生生涯规划教育理念探索与实施策略关系研究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9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毕业生更高质量更充分就业创业对策研究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新形势下大学生职业发展教育转型与创新研究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新时代就业创业课程质量提升研究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新时代基层就业空间拓展研究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高校大学生学科创业项目产业化路径研究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5064"/>
        </w:tabs>
        <w:bidi w:val="0"/>
        <w:spacing w:before="0" w:after="0" w:line="390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1-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就业创业数据统计与就业质量评价体系研究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.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新经济新业态下毕业生就业模式及影响因素研究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高等院校人才培养对接社会需求研究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高校创新创业专业师资队伍建设研究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1.18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新时代拓展基层就业新空间（抢抓农村发展重大机遇、 基层项目和大学生征兵）研究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19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特殊群体毕业生就业帮扶问题研究.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1.20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新形势下毕业生就业心理研究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 w:firstLine="420"/>
        <w:jc w:val="left"/>
        <w:rPr>
          <w:rFonts w:hint="eastAsia" w:ascii="仿宋" w:hAnsi="仿宋" w:eastAsia="仿宋" w:cs="仿宋"/>
          <w:sz w:val="24"/>
          <w:szCs w:val="24"/>
        </w:rPr>
      </w:pPr>
      <w:bookmarkStart w:id="3" w:name="bookmark14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四</w:t>
      </w:r>
      <w:bookmarkEnd w:id="3"/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、家庭经济困难学生资助研究专项课题申报指南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学前教育入园补助金制度效益分析与实证研究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义务教育家庭经济困难学生覆盖面调查研究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深度贫困地区学生资助体系建设研究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户籍制度改革与学生资助政策的发展性研究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城镇家庭经济困难学生资助现状调查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0" w:lineRule="exact"/>
        <w:ind w:left="0" w:right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整体脱贫后学生资助体系建设研究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0" w:right="0"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学生资助规范管理研究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420" w:lineRule="exact"/>
        <w:ind w:left="0" w:right="0"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8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学生资助工作考核评价体系研究（分地方和高校两个序 列）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0" w:right="0" w:firstLine="42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1.9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资助育人的理论框架与实践途径研究（分高校、中职、 中小学三个序列）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1.10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智慧校园建设与学生资助管理信息化创新研究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11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人工智能在学生资助管理中的应用与实践研究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12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依法治国背景下的依法资助研究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13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完善大学生贫困地区基层就业学费补偿机制研究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14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高校勤工助学工作创新研究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15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完善生源地信用助学贷款风险补偿机制研究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16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社会助学调查分析与对策研究</w:t>
      </w:r>
    </w:p>
    <w:p>
      <w:pPr>
        <w:pStyle w:val="5"/>
        <w:keepNext w:val="0"/>
        <w:keepLines w:val="0"/>
        <w:widowControl w:val="0"/>
        <w:shd w:val="clear" w:color="auto" w:fill="auto"/>
        <w:tabs>
          <w:tab w:val="left" w:pos="5309"/>
        </w:tabs>
        <w:bidi w:val="0"/>
        <w:spacing w:before="0" w:after="0" w:line="394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17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生源地信用助学贷款可持续发展研究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-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18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完善中等职业教育资助政策研究.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394" w:lineRule="exact"/>
        <w:ind w:left="0" w:right="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 xml:space="preserve">1. 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19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24"/>
          <w:szCs w:val="24"/>
        </w:rPr>
        <w:t>非建档立卡的特殊群体资助权益保障研究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footnotePr>
        <w:numFmt w:val="decimal"/>
      </w:footnotePr>
      <w:pgSz w:w="6761" w:h="9707"/>
      <w:pgMar w:top="751" w:right="491" w:bottom="667" w:left="443" w:header="323" w:footer="239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45513"/>
    <w:rsid w:val="0574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2"/>
    <w:basedOn w:val="1"/>
    <w:qFormat/>
    <w:uiPriority w:val="0"/>
    <w:pPr>
      <w:widowControl w:val="0"/>
      <w:shd w:val="clear" w:color="auto" w:fill="auto"/>
      <w:spacing w:after="340" w:line="378" w:lineRule="exact"/>
      <w:jc w:val="center"/>
    </w:pPr>
    <w:rPr>
      <w:rFonts w:ascii="MingLiU" w:hAnsi="MingLiU" w:eastAsia="MingLiU" w:cs="MingLiU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2019-10-28T06:19:00Z</dcterms:created>
  <dc:creator>_Bingqian</dc:creator>
  <cp:lastModifiedBy>_Bingqian</cp:lastModifiedBy>
  <dcterms:modified xsi:type="dcterms:W3CDTF">2019-10-28T06:21:38Z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