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湘艺职院〔2018〕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号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湖南艺术职业学院教学教研工作管理办法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认真开展教学教研是学院进一步夯实人才培养方案，提升教育教学质量的有效抓手，为进一步加强教研室工作，规范教研活动过程，增强全体教师开展教研活动的质量意识，提高教研活动的针对性和实效性，根据相关文件规定，结合我院实际情况，现制定如下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一、教学教研活动开展主体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各系、部教研室是教学教研活动开展的主体，受各系、部领导，各系、部须将教研室管理工作纳入常规教学管理范围，规划、督促、指导和检查各教研室积极认真、卓有实效地开展教学教研工作。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各教研室开展教学教研活动应根据学院工作计划和系、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部建设规划，纳入各教研室年度工作计划，活动开展情况和效果分析应形成年度报告。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学院教务处代表学院对各系、部所属教研室教学教研工作定期进行检查、督导，对经费使用情况进行监管，确保教学教研质量与成效。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二、教学教研工作开展活动范围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各教研室开展教学教研主要有以下项目：1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一年两次的专业（学科）教研活动，含人才培养方案修订研讨等；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各教研室组织的专业教学研讨、调研活动，含实施性教学研究、集体备课、教师公开课的开展等；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各教研室承办的院级以上专项教研活动，含教学研究项目申报等。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三、教学教研活动经费安排使用原则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学院原则上按各教研室成员人数安排年度教学教研经费，即600元/人·年的标准安排，重大教研项目经学院批准升级成院级项目的，根据实际情况可不在此列支，由学院统筹安排资金。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教学教研经费可用于以下开支：1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外请专家讲座劳务、差旅；2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教学调研差旅；3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办公费用；4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技术服务费、设备租赁费；5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资料费、制作费；6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用于学生的适当奖励费用；7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其它必要开支费用。教学教研经费报销须符合学院财务相关规定。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四、教学教研活动申报审批程序 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各教研室根据年初工作计划，按学期制定教研活动项目方案，填写项目申报审批表； 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各专业系（部）审批；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教务处根据学院年度工作计划，对项目方案的相关内容进行审核，及时通知项目申报人及相关部门做好有关服务工作； 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申报人在得到审批意见后，启动有关工作。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五、教学教研活动方案要点 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各教研室在制定方案时，要清晰表达下列内容：活动名称与主题、活动目的与内容、参加对象及人数、活动时间与地点（及承办单位）、活动经费预算等。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六、活动和项目实施要求 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严格按工作方案实施，不得擅自改变项目实施内容和要求。如遇特殊情况，必须先向学院教务处说明并得到同意后再实施。 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项目实施组织者负责活动的开展，项目组织者负责对项目经费收支情况进行审核。 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活动或项目实施结束，组织者及时将教研活动综述或相关报道上报教务处，并及时挂上教务处网站。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七、考核与奖励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学院教务处每年组织各系、部对全院教研室开展一次年终考评工作，考评主要内容包括：1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教研室主任履职履责情况；2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教研室成员教研活跃度暨教研室教研活动开展情况；3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教研室教研档案建设情况、经费使用效益分析； 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教研室工作年度突出业绩及特色亮点与成效等；5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教研室工作年终综述情况。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学院在每年底教研室考核中，按不超过20%的比例进行评优。被评为“优秀教研室”的，学院另行给予一次性奖励，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且次年教研经费划拨中，该教研室按人头浮动增加200元/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人（当年有效）。评为“基本合格”及以下的教研室，适当缩减教研室教研经费拨款，并可建议更换教研室主任。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本办法从2019年春季学期起试行，以前有关规定与本办法不符的，以本办法为准。本办法解释权在学院教务处。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湖南艺术职业学院教学教研活动项目审批表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湖南艺术职业学院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distribute"/>
        <w:rPr>
          <w:b/>
          <w:sz w:val="32"/>
          <w:szCs w:val="32"/>
        </w:rPr>
      </w:pPr>
      <w:r>
        <w:rPr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2578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.05pt;width:414pt;z-index:251661312;mso-width-relative:page;mso-height-relative:page;" filled="f" stroked="t" coordsize="21600,21600" o:gfxdata="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hj/w9MAAAAEAQAADwAAAAAA&#10;AAABACAAAAAiAAAAZHJzL2Rvd25yZXYueG1sUEsBAhQAFAAAAAgAh07iQHd7dKDfAQAApwMAAA4A&#10;AAAAAAAAAQAgAAAAIg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2578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4pt;height:0.05pt;width:414pt;z-index:251660288;mso-width-relative:page;mso-height-relative:page;" filled="f" stroked="t" coordsize="21600,21600" o:gfxdata="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NlKb1QAAAAYBAAAPAAAA&#10;AAAAAAEAIAAAACIAAABkcnMvZG93bnJldi54bWxQSwECFAAUAAAACACHTuJAgVB8oN8BAACnAwAA&#10;DgAAAAAAAAABACAAAAAk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</w:rPr>
        <w:t>湖南艺术职业学院行政办公室</w:t>
      </w:r>
      <w:r>
        <w:rPr>
          <w:rFonts w:ascii="仿宋_GB2312" w:hAnsi="宋体" w:eastAsia="仿宋_GB2312" w:cs="仿宋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ascii="仿宋_GB2312" w:hAnsi="宋体" w:eastAsia="仿宋_GB2312" w:cs="仿宋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b w:val="0"/>
          <w:bCs w:val="0"/>
          <w:color w:val="000000"/>
          <w:sz w:val="28"/>
          <w:szCs w:val="28"/>
        </w:rPr>
        <w:t>2018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</w:rPr>
        <w:t>日印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28"/>
          <w:szCs w:val="28"/>
          <w:lang w:eastAsia="zh-CN"/>
        </w:rPr>
        <w:t>发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w w:val="9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98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湖南艺术职业学院教学教研活动项目审批表</w:t>
      </w:r>
    </w:p>
    <w:tbl>
      <w:tblPr>
        <w:tblStyle w:val="8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864"/>
        <w:gridCol w:w="837"/>
        <w:gridCol w:w="95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</w:rPr>
              <w:t>研室名称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</w:rPr>
              <w:t>研室人数</w:t>
            </w:r>
          </w:p>
        </w:tc>
        <w:tc>
          <w:tcPr>
            <w:tcW w:w="179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</w:t>
            </w:r>
            <w:r>
              <w:rPr>
                <w:rFonts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711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执行时间</w:t>
            </w:r>
          </w:p>
        </w:tc>
        <w:tc>
          <w:tcPr>
            <w:tcW w:w="6711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sz w:val="28"/>
                <w:szCs w:val="28"/>
              </w:rPr>
              <w:t>和内容</w:t>
            </w:r>
          </w:p>
        </w:tc>
        <w:tc>
          <w:tcPr>
            <w:tcW w:w="6711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</w:t>
            </w:r>
            <w:r>
              <w:rPr>
                <w:rFonts w:ascii="仿宋" w:hAnsi="仿宋" w:eastAsia="仿宋"/>
                <w:sz w:val="28"/>
                <w:szCs w:val="28"/>
              </w:rPr>
              <w:t>对象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6711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开展地点</w:t>
            </w:r>
          </w:p>
        </w:tc>
        <w:tc>
          <w:tcPr>
            <w:tcW w:w="6711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预期</w:t>
            </w:r>
            <w:r>
              <w:rPr>
                <w:rFonts w:ascii="仿宋" w:hAnsi="仿宋" w:eastAsia="仿宋"/>
                <w:sz w:val="28"/>
                <w:szCs w:val="28"/>
              </w:rPr>
              <w:t>成效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分析</w:t>
            </w:r>
          </w:p>
        </w:tc>
        <w:tc>
          <w:tcPr>
            <w:tcW w:w="6711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  <w:r>
              <w:rPr>
                <w:rFonts w:ascii="仿宋" w:hAnsi="仿宋" w:eastAsia="仿宋"/>
                <w:sz w:val="28"/>
                <w:szCs w:val="28"/>
              </w:rPr>
              <w:t>费预算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（分</w:t>
            </w:r>
            <w:r>
              <w:rPr>
                <w:rFonts w:ascii="仿宋" w:hAnsi="仿宋" w:eastAsia="仿宋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6711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</w:rPr>
              <w:t>研室意见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系、部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</w:rPr>
              <w:t>务处意见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  <w:r>
              <w:rPr>
                <w:rFonts w:ascii="仿宋" w:hAnsi="仿宋" w:eastAsia="仿宋"/>
                <w:sz w:val="28"/>
                <w:szCs w:val="28"/>
              </w:rPr>
              <w:t>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  <w:r>
              <w:rPr>
                <w:rFonts w:ascii="仿宋" w:hAnsi="仿宋" w:eastAsia="仿宋"/>
                <w:sz w:val="28"/>
                <w:szCs w:val="28"/>
              </w:rPr>
              <w:t>领导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  <w:r>
              <w:rPr>
                <w:rFonts w:ascii="仿宋" w:hAnsi="仿宋" w:eastAsia="仿宋"/>
                <w:sz w:val="28"/>
                <w:szCs w:val="28"/>
              </w:rPr>
              <w:t>批意见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C4E40"/>
    <w:multiLevelType w:val="singleLevel"/>
    <w:tmpl w:val="DE4C4E4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D2"/>
    <w:rsid w:val="000739A7"/>
    <w:rsid w:val="0012675D"/>
    <w:rsid w:val="00184DAC"/>
    <w:rsid w:val="00261CBC"/>
    <w:rsid w:val="0032643A"/>
    <w:rsid w:val="00385D79"/>
    <w:rsid w:val="003E2E3B"/>
    <w:rsid w:val="00482950"/>
    <w:rsid w:val="004E2B31"/>
    <w:rsid w:val="004E382F"/>
    <w:rsid w:val="00582E83"/>
    <w:rsid w:val="005B3315"/>
    <w:rsid w:val="005D38CD"/>
    <w:rsid w:val="006E5CE3"/>
    <w:rsid w:val="00967044"/>
    <w:rsid w:val="00AB71C0"/>
    <w:rsid w:val="00B219D2"/>
    <w:rsid w:val="00B30673"/>
    <w:rsid w:val="00C1201E"/>
    <w:rsid w:val="00C361D1"/>
    <w:rsid w:val="00C36FBA"/>
    <w:rsid w:val="00CA0941"/>
    <w:rsid w:val="00D15447"/>
    <w:rsid w:val="00DA3284"/>
    <w:rsid w:val="00E47169"/>
    <w:rsid w:val="00F12364"/>
    <w:rsid w:val="00F4790C"/>
    <w:rsid w:val="03A703C8"/>
    <w:rsid w:val="05E100C7"/>
    <w:rsid w:val="06490DE3"/>
    <w:rsid w:val="06DB7E54"/>
    <w:rsid w:val="0CC16616"/>
    <w:rsid w:val="13551404"/>
    <w:rsid w:val="21583D43"/>
    <w:rsid w:val="2160344D"/>
    <w:rsid w:val="2540221E"/>
    <w:rsid w:val="2B5E57F1"/>
    <w:rsid w:val="2D512D5E"/>
    <w:rsid w:val="2FC60158"/>
    <w:rsid w:val="33F9606C"/>
    <w:rsid w:val="3A560A09"/>
    <w:rsid w:val="3C2B4DC8"/>
    <w:rsid w:val="3EE96FCE"/>
    <w:rsid w:val="47DB18ED"/>
    <w:rsid w:val="4A940F7E"/>
    <w:rsid w:val="4D983A74"/>
    <w:rsid w:val="548828DF"/>
    <w:rsid w:val="5DD05F5A"/>
    <w:rsid w:val="60FF49C0"/>
    <w:rsid w:val="61B3201F"/>
    <w:rsid w:val="719C350D"/>
    <w:rsid w:val="735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5</Pages>
  <Words>250</Words>
  <Characters>1426</Characters>
  <Lines>11</Lines>
  <Paragraphs>3</Paragraphs>
  <TotalTime>5</TotalTime>
  <ScaleCrop>false</ScaleCrop>
  <LinksUpToDate>false</LinksUpToDate>
  <CharactersWithSpaces>1673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2018-10-29T04:37:00Z</dcterms:created>
  <dc:creator>Sky</dc:creator>
  <cp:lastModifiedBy>Administrator</cp:lastModifiedBy>
  <cp:lastPrinted>2018-11-20T12:59:21Z</cp:lastPrinted>
  <dcterms:modified xsi:type="dcterms:W3CDTF">2018-11-20T13:01:22Z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