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方正姚体" w:hAnsi="黑体" w:eastAsia="方正姚体" w:cs="Times New Roman"/>
          <w:b/>
          <w:color w:val="FF0000"/>
          <w:spacing w:val="20"/>
          <w:kern w:val="2"/>
          <w:sz w:val="52"/>
          <w:szCs w:val="52"/>
          <w:lang w:val="en-US" w:eastAsia="zh-CN" w:bidi="ar-SA"/>
        </w:rPr>
      </w:pPr>
      <w:r>
        <w:rPr>
          <w:rFonts w:hint="eastAsia" w:ascii="方正姚体" w:hAnsi="黑体" w:eastAsia="方正姚体" w:cs="Times New Roman"/>
          <w:b/>
          <w:color w:val="FF0000"/>
          <w:spacing w:val="20"/>
          <w:kern w:val="2"/>
          <w:sz w:val="52"/>
          <w:szCs w:val="52"/>
          <w:lang w:val="en-US" w:bidi="ar-SA"/>
        </w:rPr>
        <w:t>湖南艺术职业学院教务处</w:t>
      </w:r>
      <w:r>
        <w:rPr>
          <w:rFonts w:hint="eastAsia" w:ascii="方正姚体" w:hAnsi="黑体" w:eastAsia="方正姚体" w:cs="Times New Roman"/>
          <w:b/>
          <w:color w:val="FF0000"/>
          <w:spacing w:val="20"/>
          <w:kern w:val="2"/>
          <w:sz w:val="52"/>
          <w:szCs w:val="52"/>
          <w:lang w:val="en-US" w:eastAsia="zh-CN" w:bidi="ar-SA"/>
        </w:rPr>
        <w:t>（实训处）</w:t>
      </w:r>
    </w:p>
    <w:p>
      <w:pPr>
        <w:spacing w:line="902" w:lineRule="exact"/>
        <w:ind w:right="247"/>
        <w:jc w:val="both"/>
        <w:rPr>
          <w:rFonts w:ascii="黑体" w:hAnsi="黑体"/>
          <w:b/>
          <w:sz w:val="72"/>
        </w:rPr>
      </w:pPr>
      <w:r>
        <w:rPr>
          <w:rFonts w:ascii="黑体" w:hAnsi="黑体"/>
          <w:b/>
          <w:color w:val="FF0000"/>
          <w:sz w:val="72"/>
        </w:rPr>
        <w:t>————————————</w:t>
      </w:r>
    </w:p>
    <w:p>
      <w:pPr>
        <w:keepNext w:val="0"/>
        <w:keepLines w:val="0"/>
        <w:pageBreakBefore w:val="0"/>
        <w:widowControl/>
        <w:kinsoku/>
        <w:wordWrap/>
        <w:overflowPunct/>
        <w:topLinePunct w:val="0"/>
        <w:autoSpaceDE/>
        <w:autoSpaceDN/>
        <w:bidi w:val="0"/>
        <w:adjustRightInd/>
        <w:snapToGrid/>
        <w:spacing w:line="240" w:lineRule="auto"/>
        <w:jc w:val="right"/>
        <w:textAlignment w:val="auto"/>
        <w:outlineLvl w:val="0"/>
        <w:rPr>
          <w:rFonts w:hint="eastAsia" w:ascii="华文中宋" w:hAnsi="华文中宋" w:eastAsia="华文中宋" w:cs="华文中宋"/>
          <w:b/>
          <w:bCs/>
          <w:kern w:val="36"/>
          <w:sz w:val="44"/>
          <w:szCs w:val="44"/>
        </w:rPr>
      </w:pPr>
      <w:r>
        <w:rPr>
          <w:rFonts w:hint="eastAsia" w:ascii="仿宋" w:hAnsi="仿宋" w:eastAsia="仿宋" w:cs="仿宋"/>
          <w:b/>
          <w:kern w:val="2"/>
          <w:sz w:val="32"/>
          <w:szCs w:val="32"/>
          <w:lang w:val="en-US" w:bidi="ar-SA"/>
        </w:rPr>
        <w:t>艺教通202</w:t>
      </w:r>
      <w:r>
        <w:rPr>
          <w:rFonts w:hint="eastAsia" w:ascii="仿宋" w:hAnsi="仿宋" w:eastAsia="仿宋" w:cs="仿宋"/>
          <w:b/>
          <w:kern w:val="2"/>
          <w:sz w:val="32"/>
          <w:szCs w:val="32"/>
          <w:lang w:val="en-US" w:eastAsia="zh-CN" w:bidi="ar-SA"/>
        </w:rPr>
        <w:t>3</w:t>
      </w:r>
      <w:r>
        <w:rPr>
          <w:rFonts w:hint="eastAsia" w:ascii="仿宋" w:hAnsi="仿宋" w:eastAsia="仿宋" w:cs="仿宋"/>
          <w:b/>
          <w:kern w:val="2"/>
          <w:sz w:val="32"/>
          <w:szCs w:val="32"/>
          <w:lang w:val="en-US" w:bidi="ar-SA"/>
        </w:rPr>
        <w:t>0</w:t>
      </w:r>
      <w:r>
        <w:rPr>
          <w:rFonts w:hint="eastAsia" w:ascii="仿宋" w:hAnsi="仿宋" w:eastAsia="仿宋" w:cs="仿宋"/>
          <w:b/>
          <w:kern w:val="2"/>
          <w:sz w:val="32"/>
          <w:szCs w:val="32"/>
          <w:lang w:val="en-US" w:eastAsia="zh-CN" w:bidi="ar-SA"/>
        </w:rPr>
        <w:t>13</w:t>
      </w:r>
      <w:r>
        <w:rPr>
          <w:rFonts w:hint="eastAsia" w:ascii="仿宋" w:hAnsi="仿宋" w:eastAsia="仿宋" w:cs="仿宋"/>
          <w:b/>
          <w:kern w:val="2"/>
          <w:sz w:val="32"/>
          <w:szCs w:val="32"/>
          <w:lang w:val="en-US" w:bidi="ar-SA"/>
        </w:rPr>
        <w:t>号</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hint="eastAsia" w:ascii="华文中宋" w:hAnsi="华文中宋" w:eastAsia="华文中宋" w:cs="华文中宋"/>
          <w:b/>
          <w:bCs/>
          <w:kern w:val="36"/>
          <w:sz w:val="44"/>
          <w:szCs w:val="44"/>
          <w:lang w:val="en-US" w:eastAsia="zh-CN"/>
        </w:rPr>
      </w:pPr>
      <w:r>
        <w:rPr>
          <w:rFonts w:hint="eastAsia" w:ascii="华文中宋" w:hAnsi="华文中宋" w:eastAsia="华文中宋" w:cs="华文中宋"/>
          <w:b/>
          <w:bCs/>
          <w:kern w:val="36"/>
          <w:sz w:val="44"/>
          <w:szCs w:val="44"/>
        </w:rPr>
        <w:t>关于举办2023年</w:t>
      </w:r>
      <w:r>
        <w:rPr>
          <w:rFonts w:hint="eastAsia" w:ascii="华文中宋" w:hAnsi="华文中宋" w:eastAsia="华文中宋" w:cs="华文中宋"/>
          <w:b/>
          <w:bCs/>
          <w:kern w:val="36"/>
          <w:sz w:val="44"/>
          <w:szCs w:val="44"/>
          <w:lang w:val="en-US" w:eastAsia="zh-CN"/>
        </w:rPr>
        <w:t>湖南省职业院校</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ascii="Times New Roman" w:hAnsi="Times New Roman" w:eastAsia="宋体" w:cs="Times New Roman"/>
          <w:b/>
          <w:bCs/>
          <w:kern w:val="0"/>
          <w:sz w:val="34"/>
          <w:szCs w:val="28"/>
        </w:rPr>
      </w:pPr>
      <w:r>
        <w:rPr>
          <w:rFonts w:hint="eastAsia" w:ascii="华文中宋" w:hAnsi="华文中宋" w:eastAsia="华文中宋" w:cs="华文中宋"/>
          <w:b/>
          <w:bCs/>
          <w:kern w:val="36"/>
          <w:sz w:val="44"/>
          <w:szCs w:val="44"/>
        </w:rPr>
        <w:t>教师职业能力竞赛</w:t>
      </w:r>
      <w:r>
        <w:rPr>
          <w:rFonts w:hint="eastAsia" w:ascii="华文中宋" w:hAnsi="华文中宋" w:eastAsia="华文中宋" w:cs="华文中宋"/>
          <w:b/>
          <w:bCs/>
          <w:kern w:val="36"/>
          <w:sz w:val="44"/>
          <w:szCs w:val="44"/>
          <w:lang w:val="en-US" w:eastAsia="zh-CN"/>
        </w:rPr>
        <w:t>校内选拔赛</w:t>
      </w:r>
      <w:r>
        <w:rPr>
          <w:rFonts w:hint="eastAsia" w:ascii="华文中宋" w:hAnsi="华文中宋" w:eastAsia="华文中宋" w:cs="华文中宋"/>
          <w:b/>
          <w:bCs/>
          <w:kern w:val="36"/>
          <w:sz w:val="44"/>
          <w:szCs w:val="44"/>
        </w:rPr>
        <w:t>的通知</w:t>
      </w:r>
    </w:p>
    <w:p>
      <w:pPr>
        <w:keepNext w:val="0"/>
        <w:keepLines w:val="0"/>
        <w:pageBreakBefore w:val="0"/>
        <w:widowControl w:val="0"/>
        <w:kinsoku/>
        <w:wordWrap/>
        <w:overflowPunct/>
        <w:topLinePunct w:val="0"/>
        <w:autoSpaceDE w:val="0"/>
        <w:autoSpaceDN w:val="0"/>
        <w:bidi w:val="0"/>
        <w:adjustRightInd/>
        <w:snapToGrid/>
        <w:spacing w:before="300" w:beforeLines="50" w:line="560" w:lineRule="exact"/>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各</w:t>
      </w:r>
      <w:r>
        <w:rPr>
          <w:rFonts w:hint="eastAsia" w:ascii="Times New Roman" w:hAnsi="Times New Roman" w:eastAsia="仿宋_GB2312" w:cs="Times New Roman"/>
          <w:b/>
          <w:bCs/>
          <w:kern w:val="0"/>
          <w:sz w:val="32"/>
          <w:szCs w:val="32"/>
          <w:lang w:val="en-US" w:eastAsia="zh-CN"/>
        </w:rPr>
        <w:t>二级学院、部门</w:t>
      </w:r>
      <w:r>
        <w:rPr>
          <w:rFonts w:ascii="Times New Roman" w:hAnsi="Times New Roman" w:eastAsia="仿宋_GB2312" w:cs="Times New Roman"/>
          <w:b/>
          <w:bCs/>
          <w:kern w:val="0"/>
          <w:sz w:val="32"/>
          <w:szCs w:val="32"/>
        </w:rPr>
        <w:t>：</w:t>
      </w:r>
      <w:r>
        <w:rPr>
          <w:rFonts w:ascii="Times New Roman" w:hAnsi="Times New Roman" w:eastAsia="仿宋_GB2312" w:cs="Times New Roman"/>
          <w:kern w:val="0"/>
          <w:sz w:val="32"/>
          <w:szCs w:val="32"/>
        </w:rPr>
        <w:t xml:space="preserve"> </w:t>
      </w:r>
    </w:p>
    <w:p>
      <w:pPr>
        <w:ind w:firstLine="602" w:firstLineChars="200"/>
        <w:rPr>
          <w:rFonts w:ascii="Times New Roman" w:hAnsi="Times New Roman" w:eastAsia="仿宋_GB2312" w:cs="Times New Roman"/>
          <w:spacing w:val="-11"/>
          <w:kern w:val="0"/>
          <w:sz w:val="32"/>
          <w:szCs w:val="32"/>
        </w:rPr>
      </w:pPr>
      <w:r>
        <w:rPr>
          <w:rFonts w:ascii="Times New Roman" w:hAnsi="Times New Roman" w:eastAsia="仿宋_GB2312" w:cs="Times New Roman"/>
          <w:spacing w:val="-11"/>
          <w:kern w:val="0"/>
          <w:sz w:val="32"/>
          <w:szCs w:val="32"/>
        </w:rPr>
        <w:t>为贯彻落实《国家职业教育改革实施方案》和《湖南省职业教育改革实施方案》</w:t>
      </w:r>
      <w:r>
        <w:rPr>
          <w:rFonts w:hint="eastAsia" w:ascii="Times New Roman" w:hAnsi="Times New Roman" w:eastAsia="仿宋_GB2312" w:cs="Times New Roman"/>
          <w:spacing w:val="-11"/>
          <w:kern w:val="0"/>
          <w:sz w:val="32"/>
          <w:szCs w:val="32"/>
          <w:lang w:val="en-US" w:eastAsia="zh-CN"/>
        </w:rPr>
        <w:t>精神</w:t>
      </w:r>
      <w:r>
        <w:rPr>
          <w:rFonts w:ascii="Times New Roman" w:hAnsi="Times New Roman" w:eastAsia="仿宋_GB2312" w:cs="Times New Roman"/>
          <w:spacing w:val="-11"/>
          <w:kern w:val="0"/>
          <w:sz w:val="32"/>
          <w:szCs w:val="32"/>
        </w:rPr>
        <w:t>，</w:t>
      </w:r>
      <w:r>
        <w:rPr>
          <w:rFonts w:hint="eastAsia" w:ascii="Times New Roman" w:hAnsi="Times New Roman" w:eastAsia="仿宋_GB2312" w:cs="Times New Roman"/>
          <w:spacing w:val="-11"/>
          <w:kern w:val="0"/>
          <w:sz w:val="32"/>
          <w:szCs w:val="32"/>
        </w:rPr>
        <w:t>坚持“以赛促教、以赛促研、以赛促改、以赛促建”的总体思路，</w:t>
      </w:r>
      <w:r>
        <w:rPr>
          <w:rFonts w:ascii="Times New Roman" w:hAnsi="Times New Roman" w:eastAsia="仿宋_GB2312" w:cs="Times New Roman"/>
          <w:spacing w:val="-11"/>
          <w:kern w:val="0"/>
          <w:sz w:val="32"/>
          <w:szCs w:val="32"/>
        </w:rPr>
        <w:t>加强</w:t>
      </w:r>
      <w:r>
        <w:rPr>
          <w:rFonts w:hint="eastAsia" w:ascii="Times New Roman" w:hAnsi="Times New Roman" w:eastAsia="仿宋_GB2312" w:cs="Times New Roman"/>
          <w:spacing w:val="-11"/>
          <w:kern w:val="0"/>
          <w:sz w:val="32"/>
          <w:szCs w:val="32"/>
          <w:lang w:val="en-US" w:eastAsia="zh-CN"/>
        </w:rPr>
        <w:t>学院</w:t>
      </w:r>
      <w:r>
        <w:rPr>
          <w:rFonts w:ascii="Times New Roman" w:hAnsi="Times New Roman" w:eastAsia="仿宋_GB2312" w:cs="Times New Roman"/>
          <w:spacing w:val="-11"/>
          <w:kern w:val="0"/>
          <w:sz w:val="32"/>
          <w:szCs w:val="32"/>
        </w:rPr>
        <w:t>“双师型”教师队伍建设，推进教师、教材、教法改革，促进教师综合素质、专业化水平和创新能力全面提升，决定举办</w:t>
      </w:r>
      <w:r>
        <w:rPr>
          <w:rFonts w:hint="eastAsia" w:ascii="Times New Roman" w:hAnsi="Times New Roman" w:eastAsia="仿宋_GB2312" w:cs="Times New Roman"/>
          <w:spacing w:val="-11"/>
          <w:kern w:val="0"/>
          <w:sz w:val="32"/>
          <w:szCs w:val="32"/>
        </w:rPr>
        <w:t>2023年</w:t>
      </w:r>
      <w:r>
        <w:rPr>
          <w:rFonts w:hint="eastAsia" w:ascii="Times New Roman" w:hAnsi="Times New Roman" w:eastAsia="仿宋_GB2312" w:cs="Times New Roman"/>
          <w:spacing w:val="-11"/>
          <w:kern w:val="0"/>
          <w:sz w:val="32"/>
          <w:szCs w:val="32"/>
          <w:lang w:val="en-US" w:eastAsia="zh-CN"/>
        </w:rPr>
        <w:t>湖南省职业院校</w:t>
      </w:r>
      <w:r>
        <w:rPr>
          <w:rFonts w:hint="eastAsia" w:ascii="Times New Roman" w:hAnsi="Times New Roman" w:eastAsia="仿宋_GB2312" w:cs="Times New Roman"/>
          <w:spacing w:val="-11"/>
          <w:kern w:val="0"/>
          <w:sz w:val="32"/>
          <w:szCs w:val="32"/>
        </w:rPr>
        <w:t>教师职业能力竞赛</w:t>
      </w:r>
      <w:r>
        <w:rPr>
          <w:rFonts w:hint="eastAsia" w:ascii="Times New Roman" w:hAnsi="Times New Roman" w:eastAsia="仿宋_GB2312" w:cs="Times New Roman"/>
          <w:spacing w:val="-11"/>
          <w:kern w:val="0"/>
          <w:sz w:val="32"/>
          <w:szCs w:val="32"/>
          <w:lang w:val="en-US" w:eastAsia="zh-CN"/>
        </w:rPr>
        <w:t>校内选拔赛</w:t>
      </w:r>
      <w:r>
        <w:rPr>
          <w:rFonts w:ascii="Times New Roman" w:hAnsi="Times New Roman" w:eastAsia="仿宋_GB2312" w:cs="Times New Roman"/>
          <w:spacing w:val="-11"/>
          <w:kern w:val="0"/>
          <w:sz w:val="32"/>
          <w:szCs w:val="32"/>
        </w:rPr>
        <w:t>。现将有关事项通知如下：</w:t>
      </w:r>
    </w:p>
    <w:p>
      <w:pPr>
        <w:numPr>
          <w:ilvl w:val="0"/>
          <w:numId w:val="0"/>
        </w:numPr>
        <w:ind w:firstLine="602" w:firstLineChars="200"/>
        <w:rPr>
          <w:rFonts w:hint="eastAsia" w:ascii="Times New Roman" w:hAnsi="Times New Roman" w:eastAsia="仿宋_GB2312" w:cs="Times New Roman"/>
          <w:b/>
          <w:bCs/>
          <w:spacing w:val="-11"/>
          <w:kern w:val="0"/>
          <w:sz w:val="32"/>
          <w:szCs w:val="32"/>
          <w:lang w:val="en-US" w:eastAsia="zh-CN"/>
        </w:rPr>
      </w:pPr>
      <w:r>
        <w:rPr>
          <w:rFonts w:hint="eastAsia" w:ascii="Times New Roman" w:hAnsi="Times New Roman" w:eastAsia="仿宋_GB2312" w:cs="Times New Roman"/>
          <w:b/>
          <w:bCs/>
          <w:spacing w:val="-11"/>
          <w:kern w:val="0"/>
          <w:sz w:val="32"/>
          <w:szCs w:val="32"/>
          <w:lang w:val="en-US" w:eastAsia="zh-CN"/>
        </w:rPr>
        <w:t>一、报名时间</w:t>
      </w:r>
    </w:p>
    <w:p>
      <w:pPr>
        <w:numPr>
          <w:ilvl w:val="0"/>
          <w:numId w:val="0"/>
        </w:numPr>
        <w:ind w:firstLine="646" w:firstLineChars="200"/>
        <w:rPr>
          <w:rFonts w:hint="eastAsia" w:ascii="Times New Roman" w:hAnsi="Times New Roman" w:eastAsia="仿宋_GB2312" w:cs="Times New Roman"/>
          <w:spacing w:val="-11"/>
          <w:kern w:val="0"/>
          <w:sz w:val="32"/>
          <w:szCs w:val="32"/>
          <w:lang w:val="en-US" w:eastAsia="zh-CN"/>
        </w:rPr>
      </w:pPr>
      <w:r>
        <w:rPr>
          <w:rFonts w:ascii="Times New Roman" w:hAnsi="Times New Roman" w:eastAsia="仿宋_GB2312" w:cs="Times New Roman"/>
          <w:kern w:val="0"/>
          <w:sz w:val="32"/>
          <w:szCs w:val="32"/>
        </w:rPr>
        <w:t>各</w:t>
      </w:r>
      <w:r>
        <w:rPr>
          <w:rFonts w:hint="eastAsia" w:ascii="Times New Roman" w:hAnsi="Times New Roman" w:eastAsia="仿宋_GB2312" w:cs="Times New Roman"/>
          <w:kern w:val="0"/>
          <w:sz w:val="32"/>
          <w:szCs w:val="32"/>
          <w:lang w:val="en-US" w:eastAsia="zh-CN"/>
        </w:rPr>
        <w:t>二级学院、部门</w:t>
      </w:r>
      <w:r>
        <w:rPr>
          <w:rFonts w:hint="eastAsia" w:ascii="Times New Roman" w:hAnsi="Times New Roman" w:eastAsia="仿宋_GB2312" w:cs="Times New Roman"/>
          <w:spacing w:val="-11"/>
          <w:kern w:val="0"/>
          <w:sz w:val="32"/>
          <w:szCs w:val="32"/>
          <w:lang w:val="en-US" w:eastAsia="zh-CN"/>
        </w:rPr>
        <w:t>推荐参赛项目及团队截止时间为</w:t>
      </w:r>
      <w:r>
        <w:rPr>
          <w:rFonts w:hint="eastAsia" w:ascii="Times New Roman" w:hAnsi="Times New Roman" w:eastAsia="仿宋_GB2312" w:cs="Times New Roman"/>
          <w:b/>
          <w:bCs/>
          <w:spacing w:val="-11"/>
          <w:kern w:val="0"/>
          <w:sz w:val="32"/>
          <w:szCs w:val="32"/>
          <w:lang w:val="en-US" w:eastAsia="zh-CN"/>
        </w:rPr>
        <w:t>5月26日</w:t>
      </w:r>
      <w:r>
        <w:rPr>
          <w:rFonts w:hint="eastAsia" w:ascii="Times New Roman" w:hAnsi="Times New Roman" w:eastAsia="仿宋_GB2312" w:cs="Times New Roman"/>
          <w:spacing w:val="-11"/>
          <w:kern w:val="0"/>
          <w:sz w:val="32"/>
          <w:szCs w:val="32"/>
          <w:lang w:val="en-US" w:eastAsia="zh-CN"/>
        </w:rPr>
        <w:t>下午5:00，逾期不再接受报名。教务处材料接收人彭聪(邮箱：297375610@qq.com；电话13787007507)。报名时同步按要求提交相关材料电子档（包括教案、教学实施报告、专业人才培养方案和课程标准、教学视频、汇总表等）。</w:t>
      </w:r>
    </w:p>
    <w:p>
      <w:pPr>
        <w:numPr>
          <w:ilvl w:val="0"/>
          <w:numId w:val="0"/>
        </w:numPr>
        <w:ind w:firstLine="602" w:firstLineChars="200"/>
        <w:rPr>
          <w:rFonts w:hint="eastAsia" w:ascii="Times New Roman" w:hAnsi="Times New Roman" w:eastAsia="仿宋_GB2312" w:cs="Times New Roman"/>
          <w:spacing w:val="-11"/>
          <w:kern w:val="0"/>
          <w:sz w:val="32"/>
          <w:szCs w:val="32"/>
          <w:lang w:val="en-US" w:eastAsia="zh-CN"/>
        </w:rPr>
      </w:pPr>
      <w:r>
        <w:rPr>
          <w:rFonts w:hint="eastAsia" w:ascii="Times New Roman" w:hAnsi="Times New Roman" w:eastAsia="仿宋_GB2312" w:cs="Times New Roman"/>
          <w:b/>
          <w:bCs/>
          <w:spacing w:val="-11"/>
          <w:kern w:val="0"/>
          <w:sz w:val="32"/>
          <w:szCs w:val="32"/>
          <w:lang w:val="en-US" w:eastAsia="zh-CN"/>
        </w:rPr>
        <w:t>二、评审方式</w:t>
      </w:r>
    </w:p>
    <w:p>
      <w:pPr>
        <w:numPr>
          <w:ilvl w:val="0"/>
          <w:numId w:val="0"/>
        </w:numPr>
        <w:ind w:firstLine="602" w:firstLineChars="200"/>
        <w:rPr>
          <w:rFonts w:hint="eastAsia" w:ascii="Times New Roman" w:hAnsi="Times New Roman" w:eastAsia="仿宋_GB2312" w:cs="Times New Roman"/>
          <w:spacing w:val="-11"/>
          <w:kern w:val="0"/>
          <w:sz w:val="32"/>
          <w:szCs w:val="32"/>
          <w:lang w:val="en-US" w:eastAsia="zh-CN"/>
        </w:rPr>
      </w:pPr>
      <w:r>
        <w:rPr>
          <w:rFonts w:hint="eastAsia" w:ascii="Times New Roman" w:hAnsi="Times New Roman" w:eastAsia="仿宋_GB2312" w:cs="Times New Roman"/>
          <w:spacing w:val="-11"/>
          <w:kern w:val="0"/>
          <w:sz w:val="32"/>
          <w:szCs w:val="32"/>
          <w:lang w:val="en-US" w:eastAsia="zh-CN"/>
        </w:rPr>
        <w:t>教务处（实训处）将组织校内、外相关专家评审。</w:t>
      </w:r>
    </w:p>
    <w:p>
      <w:pPr>
        <w:numPr>
          <w:ilvl w:val="0"/>
          <w:numId w:val="0"/>
        </w:numPr>
        <w:ind w:firstLine="602" w:firstLineChars="200"/>
        <w:rPr>
          <w:rFonts w:hint="default" w:ascii="Times New Roman" w:hAnsi="Times New Roman" w:eastAsia="仿宋_GB2312" w:cs="Times New Roman"/>
          <w:b/>
          <w:bCs/>
          <w:spacing w:val="-11"/>
          <w:kern w:val="0"/>
          <w:sz w:val="32"/>
          <w:szCs w:val="32"/>
          <w:lang w:val="en-US" w:eastAsia="zh-CN"/>
        </w:rPr>
      </w:pPr>
      <w:r>
        <w:rPr>
          <w:rFonts w:hint="eastAsia" w:ascii="Times New Roman" w:hAnsi="Times New Roman" w:eastAsia="仿宋_GB2312" w:cs="Times New Roman"/>
          <w:b/>
          <w:bCs/>
          <w:spacing w:val="-11"/>
          <w:kern w:val="0"/>
          <w:sz w:val="32"/>
          <w:szCs w:val="32"/>
          <w:lang w:val="en-US" w:eastAsia="zh-CN"/>
        </w:rPr>
        <w:t>三、参赛组别及要求</w:t>
      </w:r>
    </w:p>
    <w:p>
      <w:pPr>
        <w:overflowPunct w:val="0"/>
        <w:ind w:firstLine="646"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sz w:val="32"/>
          <w:szCs w:val="32"/>
        </w:rPr>
        <w:t>中等职业教育、高等职业教育（含本科层次职业教育）各分设</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个组别。</w:t>
      </w:r>
    </w:p>
    <w:p>
      <w:pPr>
        <w:numPr>
          <w:ilvl w:val="0"/>
          <w:numId w:val="1"/>
        </w:num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职、高职高专公共基础课程组：原则上中职按思想政治、语文、数学、外语、信息技术、体育与健康、艺术、历史、物理、化学及其他课程设组；高职按思想政治理论课、语文、数学、英语、计算机应用、体育与健康及其他课程设组。</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．中职、高职高专专业课程一组：原则上按专业大类设组。</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．中职、高职高专专业课程二组：原则上按专业大类设组。</w:t>
      </w:r>
    </w:p>
    <w:p>
      <w:pPr>
        <w:snapToGrid w:val="0"/>
        <w:spacing w:line="560" w:lineRule="exact"/>
        <w:ind w:firstLine="646" w:firstLineChars="200"/>
        <w:rPr>
          <w:rFonts w:hint="eastAsia" w:ascii="Times New Roman" w:hAnsi="Times New Roman" w:eastAsia="仿宋_GB2312" w:cs="Times New Roman"/>
          <w:spacing w:val="-11"/>
          <w:kern w:val="0"/>
          <w:sz w:val="32"/>
          <w:szCs w:val="32"/>
          <w:lang w:val="en-US" w:eastAsia="zh-CN"/>
        </w:rPr>
      </w:pPr>
      <w:r>
        <w:rPr>
          <w:rFonts w:hint="eastAsia" w:ascii="Times New Roman" w:hAnsi="Times New Roman" w:eastAsia="仿宋_GB2312" w:cs="Times New Roman"/>
          <w:sz w:val="32"/>
          <w:szCs w:val="32"/>
        </w:rPr>
        <w:t>注：专业大类划分</w:t>
      </w:r>
      <w:r>
        <w:rPr>
          <w:rFonts w:hint="eastAsia" w:ascii="Times New Roman" w:hAnsi="Times New Roman" w:eastAsia="仿宋_GB2312" w:cs="Times New Roman"/>
          <w:color w:val="000000"/>
          <w:sz w:val="32"/>
          <w:szCs w:val="32"/>
        </w:rPr>
        <w:t>以教育部公布的</w:t>
      </w:r>
      <w:r>
        <w:rPr>
          <w:rFonts w:hint="eastAsia" w:ascii="Times New Roman" w:hAnsi="Times New Roman" w:eastAsia="仿宋_GB2312" w:cs="Times New Roman"/>
          <w:color w:val="4B4B4B"/>
          <w:sz w:val="32"/>
          <w:szCs w:val="32"/>
        </w:rPr>
        <w:t>《职业教育专业目录（</w:t>
      </w:r>
      <w:r>
        <w:rPr>
          <w:rFonts w:ascii="Times New Roman" w:hAnsi="Times New Roman" w:eastAsia="仿宋_GB2312" w:cs="Times New Roman"/>
          <w:color w:val="4B4B4B"/>
          <w:sz w:val="32"/>
          <w:szCs w:val="32"/>
        </w:rPr>
        <w:t>2021</w:t>
      </w:r>
      <w:r>
        <w:rPr>
          <w:rFonts w:hint="eastAsia" w:ascii="Times New Roman" w:hAnsi="Times New Roman" w:eastAsia="仿宋_GB2312" w:cs="Times New Roman"/>
          <w:color w:val="4B4B4B"/>
          <w:sz w:val="32"/>
          <w:szCs w:val="32"/>
        </w:rPr>
        <w:t>年）》</w:t>
      </w:r>
      <w:r>
        <w:rPr>
          <w:rFonts w:hint="eastAsia" w:ascii="Times New Roman" w:hAnsi="Times New Roman" w:eastAsia="仿宋_GB2312" w:cs="Times New Roman"/>
          <w:color w:val="000000"/>
          <w:sz w:val="32"/>
          <w:szCs w:val="32"/>
        </w:rPr>
        <w:t>为准。</w:t>
      </w:r>
    </w:p>
    <w:p>
      <w:pPr>
        <w:jc w:val="center"/>
        <w:rPr>
          <w:rFonts w:hint="eastAsia" w:ascii="Times New Roman" w:hAnsi="Times New Roman" w:eastAsia="仿宋_GB2312" w:cs="Times New Roman"/>
          <w:spacing w:val="-11"/>
          <w:kern w:val="0"/>
          <w:sz w:val="32"/>
          <w:szCs w:val="32"/>
          <w:lang w:val="en-US" w:eastAsia="zh-CN"/>
        </w:rPr>
      </w:pPr>
    </w:p>
    <w:p>
      <w:pPr>
        <w:jc w:val="center"/>
        <w:rPr>
          <w:rFonts w:hint="eastAsia" w:ascii="Times New Roman" w:hAnsi="Times New Roman" w:eastAsia="仿宋_GB2312" w:cs="Times New Roman"/>
          <w:spacing w:val="-11"/>
          <w:kern w:val="0"/>
          <w:sz w:val="32"/>
          <w:szCs w:val="32"/>
          <w:lang w:val="en-US" w:eastAsia="zh-CN"/>
        </w:rPr>
      </w:pPr>
      <w:bookmarkStart w:id="35" w:name="_GoBack"/>
      <w:bookmarkEnd w:id="35"/>
    </w:p>
    <w:p>
      <w:pPr>
        <w:jc w:val="center"/>
        <w:rPr>
          <w:rFonts w:hint="eastAsia" w:ascii="Times New Roman" w:hAnsi="Times New Roman" w:eastAsia="仿宋_GB2312" w:cs="Times New Roman"/>
          <w:spacing w:val="-11"/>
          <w:kern w:val="0"/>
          <w:sz w:val="32"/>
          <w:szCs w:val="32"/>
          <w:lang w:val="en-US" w:eastAsia="zh-CN"/>
        </w:rPr>
      </w:pPr>
      <w:r>
        <w:rPr>
          <w:rFonts w:hint="eastAsia" w:ascii="Times New Roman" w:hAnsi="Times New Roman" w:eastAsia="仿宋_GB2312" w:cs="Times New Roman"/>
          <w:spacing w:val="-11"/>
          <w:kern w:val="0"/>
          <w:sz w:val="32"/>
          <w:szCs w:val="32"/>
          <w:lang w:val="en-US" w:eastAsia="zh-CN"/>
        </w:rPr>
        <w:t xml:space="preserve">                                                教务处（实训处）</w:t>
      </w:r>
    </w:p>
    <w:p>
      <w:pPr>
        <w:jc w:val="righ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spacing w:val="-11"/>
          <w:kern w:val="0"/>
          <w:sz w:val="32"/>
          <w:szCs w:val="32"/>
          <w:lang w:val="en-US" w:eastAsia="zh-CN"/>
        </w:rPr>
        <w:t xml:space="preserve">                       2023年4月6日</w:t>
      </w:r>
    </w:p>
    <w:p>
      <w:pPr>
        <w:autoSpaceDE w:val="0"/>
        <w:autoSpaceDN w:val="0"/>
        <w:spacing w:line="560" w:lineRule="exact"/>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参考附件：</w:t>
      </w:r>
    </w:p>
    <w:p>
      <w:pPr>
        <w:autoSpaceDE w:val="0"/>
        <w:autoSpaceDN w:val="0"/>
        <w:spacing w:line="560" w:lineRule="exact"/>
        <w:jc w:val="left"/>
        <w:rPr>
          <w:rFonts w:hint="eastAsia" w:ascii="Times New Roman" w:hAnsi="Times New Roman" w:eastAsia="仿宋_GB2312" w:cs="Times New Roman"/>
          <w:b/>
          <w:bCs/>
          <w:color w:val="000000"/>
          <w:kern w:val="0"/>
          <w:sz w:val="24"/>
          <w:szCs w:val="24"/>
          <w:lang w:val="en-US" w:eastAsia="zh-CN"/>
        </w:rPr>
      </w:pPr>
      <w:r>
        <w:rPr>
          <w:rFonts w:hint="eastAsia" w:ascii="Times New Roman" w:hAnsi="Times New Roman" w:eastAsia="仿宋_GB2312" w:cs="Times New Roman"/>
          <w:b/>
          <w:bCs/>
          <w:color w:val="000000"/>
          <w:kern w:val="0"/>
          <w:sz w:val="28"/>
          <w:szCs w:val="28"/>
          <w:lang w:val="en-US" w:eastAsia="zh-CN"/>
        </w:rPr>
        <w:t>（因本年度省厅文件暂未发布，所有参赛指标拟按照2022年相关文件执行）</w:t>
      </w:r>
    </w:p>
    <w:p>
      <w:pPr>
        <w:autoSpaceDE w:val="0"/>
        <w:autoSpaceDN w:val="0"/>
        <w:spacing w:line="560" w:lineRule="exact"/>
        <w:ind w:firstLine="646" w:firstLineChars="20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 2022年“楚怡杯”湖南省职业院校教师职业能力竞赛教学能力比赛方案</w:t>
      </w:r>
    </w:p>
    <w:p>
      <w:pPr>
        <w:autoSpaceDE w:val="0"/>
        <w:autoSpaceDN w:val="0"/>
        <w:spacing w:line="560" w:lineRule="exact"/>
        <w:ind w:firstLine="646" w:firstLineChars="20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 2022年“楚怡杯”湖南省职业院校教师职业能力竞赛教学能力比赛参赛作品材料及现场决赛有关要求</w:t>
      </w:r>
    </w:p>
    <w:p>
      <w:pPr>
        <w:autoSpaceDE w:val="0"/>
        <w:autoSpaceDN w:val="0"/>
        <w:spacing w:line="560" w:lineRule="exact"/>
        <w:ind w:firstLine="646" w:firstLineChars="20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 2022年“楚怡杯”湖南省职业院校教师职业能力竞赛教学能力比赛评审评分指标</w:t>
      </w:r>
    </w:p>
    <w:p>
      <w:pPr>
        <w:autoSpaceDE w:val="0"/>
        <w:autoSpaceDN w:val="0"/>
        <w:spacing w:line="560" w:lineRule="exact"/>
        <w:ind w:firstLine="646" w:firstLineChars="20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 2023年湖南省职业院校教师职业能力竞赛校内选拔赛报名汇总表</w:t>
      </w:r>
    </w:p>
    <w:p>
      <w:pPr>
        <w:rPr>
          <w:rFonts w:hint="eastAsia" w:ascii="Times New Roman" w:hAnsi="Times New Roman" w:eastAsia="仿宋_GB2312" w:cs="Times New Roman"/>
          <w:spacing w:val="-11"/>
          <w:kern w:val="0"/>
          <w:sz w:val="32"/>
          <w:szCs w:val="32"/>
          <w:lang w:val="en-US" w:eastAsia="zh-CN"/>
        </w:rPr>
      </w:pPr>
      <w:r>
        <w:rPr>
          <w:rFonts w:hint="eastAsia" w:ascii="Times New Roman" w:hAnsi="Times New Roman" w:eastAsia="仿宋_GB2312" w:cs="Times New Roman"/>
          <w:spacing w:val="-11"/>
          <w:kern w:val="0"/>
          <w:sz w:val="32"/>
          <w:szCs w:val="32"/>
          <w:lang w:val="en-US" w:eastAsia="zh-CN"/>
        </w:rPr>
        <w:br w:type="page"/>
      </w:r>
    </w:p>
    <w:p>
      <w:pPr>
        <w:snapToGrid w:val="0"/>
        <w:spacing w:line="560" w:lineRule="exact"/>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rPr>
        <w:t>附件</w:t>
      </w:r>
      <w:r>
        <w:rPr>
          <w:rFonts w:hint="eastAsia" w:ascii="黑体" w:hAnsi="黑体" w:eastAsia="黑体" w:cs="仿宋"/>
          <w:color w:val="000000"/>
          <w:sz w:val="32"/>
          <w:szCs w:val="32"/>
          <w:lang w:val="en-US" w:eastAsia="zh-CN"/>
        </w:rPr>
        <w:t>1</w:t>
      </w:r>
    </w:p>
    <w:p>
      <w:pPr>
        <w:snapToGrid w:val="0"/>
        <w:spacing w:line="560" w:lineRule="exact"/>
        <w:rPr>
          <w:rFonts w:ascii="Times New Roman" w:hAnsi="Times New Roman" w:eastAsia="黑体" w:cs="Times New Roman"/>
          <w:color w:val="000000"/>
          <w:sz w:val="32"/>
          <w:szCs w:val="32"/>
        </w:rPr>
      </w:pPr>
    </w:p>
    <w:p>
      <w:pPr>
        <w:snapToGrid w:val="0"/>
        <w:spacing w:line="5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2022年“楚怡杯”湖南省职业院校教师</w:t>
      </w:r>
    </w:p>
    <w:p>
      <w:pPr>
        <w:snapToGrid w:val="0"/>
        <w:spacing w:line="5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职业能力竞赛教学能力比赛方案</w:t>
      </w:r>
    </w:p>
    <w:p>
      <w:pPr>
        <w:snapToGrid w:val="0"/>
        <w:spacing w:line="560" w:lineRule="exact"/>
        <w:jc w:val="center"/>
        <w:rPr>
          <w:rFonts w:ascii="Times New Roman" w:hAnsi="Times New Roman" w:eastAsia="方正小标宋简体" w:cs="Times New Roman"/>
          <w:color w:val="000000"/>
          <w:sz w:val="44"/>
          <w:szCs w:val="44"/>
        </w:rPr>
      </w:pPr>
    </w:p>
    <w:p>
      <w:pPr>
        <w:numPr>
          <w:ilvl w:val="0"/>
          <w:numId w:val="2"/>
        </w:numPr>
        <w:snapToGrid w:val="0"/>
        <w:spacing w:line="580" w:lineRule="exact"/>
        <w:ind w:left="1360" w:hanging="720"/>
        <w:outlineLvl w:val="0"/>
        <w:rPr>
          <w:rFonts w:ascii="黑体" w:hAnsi="黑体" w:eastAsia="黑体" w:cs="黑体"/>
          <w:color w:val="000000"/>
          <w:sz w:val="32"/>
          <w:szCs w:val="32"/>
        </w:rPr>
      </w:pPr>
      <w:bookmarkStart w:id="0" w:name="_Toc8008"/>
      <w:r>
        <w:rPr>
          <w:rFonts w:ascii="黑体" w:hAnsi="黑体" w:eastAsia="黑体" w:cs="黑体"/>
          <w:color w:val="000000"/>
          <w:sz w:val="32"/>
          <w:szCs w:val="32"/>
        </w:rPr>
        <w:t>指导思想</w:t>
      </w:r>
      <w:bookmarkEnd w:id="0"/>
    </w:p>
    <w:p>
      <w:pPr>
        <w:overflowPunct w:val="0"/>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深入贯彻落实全国职业教育大会和《国家职业教育改革实施方案》《湖南省职业教育改革实施方案》精神，服务我省“三高四新”战略定位和使命任务，坚持“以赛促教、以赛促研、以赛促改、以赛促建”的总体思路，引导学校和教师以立德树人为根本任务，推进“三全育人”，深化“课程思政”建设；引导学校师生持续推进国家教学标准落地，深化产教融合，</w:t>
      </w:r>
      <w:r>
        <w:rPr>
          <w:rFonts w:hint="eastAsia" w:ascii="Times New Roman" w:hAnsi="Times New Roman" w:eastAsia="仿宋_GB2312" w:cs="Times New Roman"/>
          <w:sz w:val="32"/>
          <w:szCs w:val="32"/>
        </w:rPr>
        <w:t>积极探索“岗课赛证”融合育人模式，创新发展线上线下混合式教学模式；</w:t>
      </w:r>
      <w:r>
        <w:rPr>
          <w:rFonts w:hint="eastAsia" w:ascii="Times New Roman" w:hAnsi="Times New Roman" w:eastAsia="仿宋_GB2312" w:cs="Times New Roman"/>
          <w:color w:val="000000"/>
          <w:sz w:val="32"/>
          <w:szCs w:val="32"/>
        </w:rPr>
        <w:t>引导各地各校全面建立常态化的教学工作诊断与改进制度，持续深化教师、教材、教法改革，促进职业教育数字化转型升级；引导各学校推进高水平、结构化教师教学团队建设，</w:t>
      </w:r>
      <w:r>
        <w:rPr>
          <w:rFonts w:hint="eastAsia" w:ascii="Times New Roman" w:hAnsi="Times New Roman" w:eastAsia="仿宋_GB2312" w:cs="Times New Roman"/>
          <w:sz w:val="32"/>
          <w:szCs w:val="32"/>
        </w:rPr>
        <w:t>推动示范性教学，</w:t>
      </w:r>
      <w:r>
        <w:rPr>
          <w:rFonts w:hint="eastAsia" w:ascii="Times New Roman" w:hAnsi="Times New Roman" w:eastAsia="仿宋_GB2312" w:cs="Times New Roman"/>
          <w:color w:val="000000"/>
          <w:sz w:val="32"/>
          <w:szCs w:val="32"/>
        </w:rPr>
        <w:t>促进学校课程建设和</w:t>
      </w:r>
      <w:r>
        <w:rPr>
          <w:rFonts w:hint="eastAsia" w:ascii="Times New Roman" w:hAnsi="Times New Roman" w:eastAsia="仿宋_GB2312" w:cs="Times New Roman"/>
          <w:sz w:val="32"/>
          <w:szCs w:val="32"/>
        </w:rPr>
        <w:t>“双师型”</w:t>
      </w:r>
      <w:r>
        <w:rPr>
          <w:rFonts w:hint="eastAsia" w:ascii="Times New Roman" w:hAnsi="Times New Roman" w:eastAsia="仿宋_GB2312" w:cs="Times New Roman"/>
          <w:color w:val="000000"/>
          <w:sz w:val="32"/>
          <w:szCs w:val="32"/>
        </w:rPr>
        <w:t>教师成长。</w:t>
      </w:r>
    </w:p>
    <w:p>
      <w:pPr>
        <w:snapToGrid w:val="0"/>
        <w:spacing w:line="580" w:lineRule="exact"/>
        <w:ind w:firstLine="646" w:firstLineChars="200"/>
        <w:outlineLvl w:val="0"/>
        <w:rPr>
          <w:rFonts w:ascii="黑体" w:hAnsi="黑体" w:eastAsia="黑体" w:cs="黑体"/>
          <w:color w:val="000000"/>
          <w:sz w:val="32"/>
          <w:szCs w:val="32"/>
        </w:rPr>
      </w:pPr>
      <w:bookmarkStart w:id="1" w:name="_Toc29558"/>
      <w:r>
        <w:rPr>
          <w:rFonts w:hint="eastAsia" w:ascii="黑体" w:hAnsi="黑体" w:eastAsia="黑体" w:cs="黑体"/>
          <w:color w:val="000000"/>
          <w:sz w:val="32"/>
          <w:szCs w:val="32"/>
        </w:rPr>
        <w:t>二、组织机构</w:t>
      </w:r>
      <w:bookmarkEnd w:id="1"/>
    </w:p>
    <w:p>
      <w:pPr>
        <w:snapToGrid w:val="0"/>
        <w:spacing w:line="580" w:lineRule="exact"/>
        <w:ind w:firstLine="602" w:firstLineChars="200"/>
        <w:rPr>
          <w:rFonts w:ascii="Times New Roman" w:hAnsi="Times New Roman" w:eastAsia="仿宋_GB2312" w:cs="Times New Roman"/>
          <w:color w:val="000000"/>
          <w:sz w:val="32"/>
          <w:szCs w:val="32"/>
        </w:rPr>
      </w:pPr>
      <w:r>
        <w:rPr>
          <w:rFonts w:ascii="Times New Roman" w:hAnsi="Times New Roman" w:eastAsia="仿宋_GB2312" w:cs="Times New Roman"/>
          <w:spacing w:val="-11"/>
          <w:kern w:val="0"/>
          <w:sz w:val="32"/>
          <w:szCs w:val="32"/>
        </w:rPr>
        <w:t>2022年“楚怡杯”湖南省职业院校</w:t>
      </w:r>
      <w:r>
        <w:rPr>
          <w:rFonts w:hint="eastAsia" w:ascii="Times New Roman" w:hAnsi="Times New Roman" w:eastAsia="仿宋_GB2312" w:cs="Times New Roman"/>
          <w:spacing w:val="-11"/>
          <w:kern w:val="0"/>
          <w:sz w:val="32"/>
          <w:szCs w:val="32"/>
        </w:rPr>
        <w:t>教师职业能力竞赛教学能力比赛</w:t>
      </w:r>
      <w:r>
        <w:rPr>
          <w:rFonts w:hint="eastAsia" w:ascii="Times New Roman" w:hAnsi="Times New Roman" w:eastAsia="仿宋_GB2312" w:cs="Times New Roman"/>
          <w:color w:val="000000"/>
          <w:sz w:val="32"/>
          <w:szCs w:val="32"/>
        </w:rPr>
        <w:t>（以下简称比赛）由湖南省教育厅主办，湖南机电职业技术学院承办，高等教育出版社协办，并成立比赛组委会，下设仲裁委员会、秘书处和专家组。</w:t>
      </w:r>
    </w:p>
    <w:p>
      <w:pPr>
        <w:snapToGrid w:val="0"/>
        <w:spacing w:line="580" w:lineRule="exact"/>
        <w:ind w:firstLine="646" w:firstLineChars="200"/>
        <w:outlineLvl w:val="1"/>
        <w:rPr>
          <w:rFonts w:ascii="Times New Roman" w:hAnsi="Times New Roman" w:eastAsia="仿宋_GB2312" w:cs="Times New Roman"/>
          <w:bCs/>
          <w:color w:val="000000"/>
          <w:sz w:val="32"/>
          <w:szCs w:val="32"/>
        </w:rPr>
      </w:pPr>
      <w:bookmarkStart w:id="2" w:name="_Toc13499"/>
      <w:r>
        <w:rPr>
          <w:rFonts w:ascii="Times New Roman" w:hAnsi="Times New Roman" w:eastAsia="仿宋_GB2312" w:cs="Times New Roman"/>
          <w:bCs/>
          <w:color w:val="000000"/>
          <w:sz w:val="32"/>
          <w:szCs w:val="32"/>
        </w:rPr>
        <w:t>1</w:t>
      </w:r>
      <w:r>
        <w:rPr>
          <w:rFonts w:hint="eastAsia" w:ascii="Times New Roman" w:hAnsi="Times New Roman" w:eastAsia="仿宋_GB2312" w:cs="Times New Roman"/>
          <w:bCs/>
          <w:color w:val="000000"/>
          <w:sz w:val="32"/>
          <w:szCs w:val="32"/>
        </w:rPr>
        <w:t>．组委会</w:t>
      </w:r>
      <w:bookmarkEnd w:id="2"/>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主　任：王仁祥</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常务主任：李纪武</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副主任：崔书芳、杨翠明</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委　员：谢桂平、殷</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劭、李玉民</w:t>
      </w:r>
    </w:p>
    <w:p>
      <w:pPr>
        <w:snapToGrid w:val="0"/>
        <w:spacing w:line="560" w:lineRule="exact"/>
        <w:ind w:firstLine="646" w:firstLineChars="200"/>
        <w:outlineLvl w:val="1"/>
        <w:rPr>
          <w:rFonts w:ascii="Times New Roman" w:hAnsi="Times New Roman" w:eastAsia="仿宋_GB2312" w:cs="Times New Roman"/>
          <w:bCs/>
          <w:color w:val="000000"/>
          <w:sz w:val="32"/>
          <w:szCs w:val="32"/>
        </w:rPr>
      </w:pPr>
      <w:bookmarkStart w:id="3" w:name="_Toc4523"/>
      <w:r>
        <w:rPr>
          <w:rFonts w:ascii="Times New Roman" w:hAnsi="Times New Roman" w:eastAsia="仿宋_GB2312" w:cs="Times New Roman"/>
          <w:bCs/>
          <w:color w:val="000000"/>
          <w:sz w:val="32"/>
          <w:szCs w:val="32"/>
        </w:rPr>
        <w:t>2</w:t>
      </w:r>
      <w:r>
        <w:rPr>
          <w:rFonts w:hint="eastAsia" w:ascii="Times New Roman" w:hAnsi="Times New Roman" w:eastAsia="仿宋_GB2312" w:cs="Times New Roman"/>
          <w:bCs/>
          <w:color w:val="000000"/>
          <w:sz w:val="32"/>
          <w:szCs w:val="32"/>
        </w:rPr>
        <w:t>．仲裁委员会</w:t>
      </w:r>
      <w:bookmarkEnd w:id="3"/>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主　任：李纪武</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副主任：崔书芳</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成　员：谢桂平、殷</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劭、王</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宇、王江清、舒底清</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负责对比赛发生的申诉进行处理。</w:t>
      </w:r>
    </w:p>
    <w:p>
      <w:pPr>
        <w:snapToGrid w:val="0"/>
        <w:spacing w:line="560" w:lineRule="exact"/>
        <w:ind w:firstLine="646" w:firstLineChars="200"/>
        <w:outlineLvl w:val="1"/>
        <w:rPr>
          <w:rFonts w:ascii="Times New Roman" w:hAnsi="Times New Roman" w:eastAsia="仿宋_GB2312" w:cs="Times New Roman"/>
          <w:bCs/>
          <w:color w:val="000000"/>
          <w:sz w:val="32"/>
          <w:szCs w:val="32"/>
        </w:rPr>
      </w:pPr>
      <w:bookmarkStart w:id="4" w:name="_Toc18962"/>
      <w:r>
        <w:rPr>
          <w:rFonts w:ascii="Times New Roman" w:hAnsi="Times New Roman" w:eastAsia="仿宋_GB2312" w:cs="Times New Roman"/>
          <w:bCs/>
          <w:color w:val="000000"/>
          <w:sz w:val="32"/>
          <w:szCs w:val="32"/>
        </w:rPr>
        <w:t>3</w:t>
      </w:r>
      <w:r>
        <w:rPr>
          <w:rFonts w:hint="eastAsia" w:ascii="Times New Roman" w:hAnsi="Times New Roman" w:eastAsia="仿宋_GB2312" w:cs="Times New Roman"/>
          <w:bCs/>
          <w:color w:val="000000"/>
          <w:sz w:val="32"/>
          <w:szCs w:val="32"/>
        </w:rPr>
        <w:t>．秘书处</w:t>
      </w:r>
      <w:bookmarkEnd w:id="4"/>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秘</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书</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长：谢桂平</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副秘书长：李玉民</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成</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员：王</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宇、郭晓静、张</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华、李</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宇、潘</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鑫</w:t>
      </w:r>
    </w:p>
    <w:p>
      <w:pPr>
        <w:snapToGrid w:val="0"/>
        <w:spacing w:line="560" w:lineRule="exact"/>
        <w:ind w:firstLine="2261" w:firstLineChars="7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李云峰</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主要负责比赛方案和文件制定及具体实施的组织与统筹。</w:t>
      </w:r>
    </w:p>
    <w:p>
      <w:pPr>
        <w:snapToGrid w:val="0"/>
        <w:spacing w:line="560" w:lineRule="exact"/>
        <w:ind w:firstLine="646"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4</w:t>
      </w:r>
      <w:r>
        <w:rPr>
          <w:rFonts w:hint="eastAsia" w:ascii="Times New Roman" w:hAnsi="Times New Roman" w:eastAsia="仿宋_GB2312" w:cs="Times New Roman"/>
          <w:bCs/>
          <w:color w:val="000000"/>
          <w:sz w:val="32"/>
          <w:szCs w:val="32"/>
        </w:rPr>
        <w:t>．专家组</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专家组由省教育厅从职业院校、职教研究机构中遴选聘请。主要参与比赛方案和相关技术文件研制与解读，指导比赛评审专家组工作，处理比赛技术事项等。</w:t>
      </w:r>
    </w:p>
    <w:p>
      <w:pPr>
        <w:snapToGrid w:val="0"/>
        <w:spacing w:line="560" w:lineRule="exact"/>
        <w:ind w:firstLine="646" w:firstLineChars="200"/>
        <w:outlineLvl w:val="0"/>
        <w:rPr>
          <w:rFonts w:ascii="黑体" w:hAnsi="黑体" w:eastAsia="黑体" w:cs="黑体"/>
          <w:sz w:val="32"/>
          <w:szCs w:val="32"/>
        </w:rPr>
      </w:pPr>
      <w:r>
        <w:rPr>
          <w:rFonts w:hint="eastAsia" w:ascii="黑体" w:hAnsi="黑体" w:eastAsia="黑体" w:cs="黑体"/>
          <w:color w:val="000000"/>
          <w:sz w:val="32"/>
          <w:szCs w:val="32"/>
        </w:rPr>
        <w:t>三、比赛分组</w:t>
      </w:r>
    </w:p>
    <w:p>
      <w:pPr>
        <w:overflowPunct w:val="0"/>
        <w:ind w:firstLine="646"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sz w:val="32"/>
          <w:szCs w:val="32"/>
        </w:rPr>
        <w:t>中等职业教育、高等职业教育（含本科层次职业教育）各分设</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个组别。</w:t>
      </w:r>
    </w:p>
    <w:p>
      <w:pPr>
        <w:numPr>
          <w:ilvl w:val="0"/>
          <w:numId w:val="1"/>
        </w:num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职、高职高专公共基础课程组：原则上中职按思想政治、语文、数学、外语、信息技术、体育与健康、艺术、历史、物理、化学及其他课程设组；高职按思想政治理论课、语文、数学、英语、计算机应用、体育与健康及其他课程设组。</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．中职、高职高专专业课程一组：原则上按专业大类设组。</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．中职、高职高专专业课程二组：原则上按专业大类设组。</w:t>
      </w:r>
    </w:p>
    <w:p>
      <w:pPr>
        <w:snapToGrid w:val="0"/>
        <w:spacing w:line="560" w:lineRule="exact"/>
        <w:ind w:firstLine="646"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注：专业大类划分</w:t>
      </w:r>
      <w:r>
        <w:rPr>
          <w:rFonts w:hint="eastAsia" w:ascii="Times New Roman" w:hAnsi="Times New Roman" w:eastAsia="仿宋_GB2312" w:cs="Times New Roman"/>
          <w:color w:val="000000"/>
          <w:sz w:val="32"/>
          <w:szCs w:val="32"/>
        </w:rPr>
        <w:t>以教育部公布的</w:t>
      </w:r>
      <w:r>
        <w:rPr>
          <w:rFonts w:hint="eastAsia" w:ascii="Times New Roman" w:hAnsi="Times New Roman" w:eastAsia="仿宋_GB2312" w:cs="Times New Roman"/>
          <w:color w:val="4B4B4B"/>
          <w:sz w:val="32"/>
          <w:szCs w:val="32"/>
        </w:rPr>
        <w:t>《职业教育专业目录（</w:t>
      </w:r>
      <w:r>
        <w:rPr>
          <w:rFonts w:ascii="Times New Roman" w:hAnsi="Times New Roman" w:eastAsia="仿宋_GB2312" w:cs="Times New Roman"/>
          <w:color w:val="4B4B4B"/>
          <w:sz w:val="32"/>
          <w:szCs w:val="32"/>
        </w:rPr>
        <w:t>2021</w:t>
      </w:r>
      <w:r>
        <w:rPr>
          <w:rFonts w:hint="eastAsia" w:ascii="Times New Roman" w:hAnsi="Times New Roman" w:eastAsia="仿宋_GB2312" w:cs="Times New Roman"/>
          <w:color w:val="4B4B4B"/>
          <w:sz w:val="32"/>
          <w:szCs w:val="32"/>
        </w:rPr>
        <w:t>年）》</w:t>
      </w:r>
      <w:r>
        <w:rPr>
          <w:rFonts w:hint="eastAsia" w:ascii="Times New Roman" w:hAnsi="Times New Roman" w:eastAsia="仿宋_GB2312" w:cs="Times New Roman"/>
          <w:color w:val="000000"/>
          <w:sz w:val="32"/>
          <w:szCs w:val="32"/>
        </w:rPr>
        <w:t>为准。</w:t>
      </w:r>
    </w:p>
    <w:p>
      <w:pPr>
        <w:snapToGrid w:val="0"/>
        <w:spacing w:line="560" w:lineRule="exact"/>
        <w:ind w:firstLine="646" w:firstLineChars="200"/>
        <w:rPr>
          <w:rFonts w:ascii="黑体" w:hAnsi="黑体" w:eastAsia="黑体" w:cs="黑体"/>
          <w:color w:val="000000"/>
          <w:sz w:val="32"/>
          <w:szCs w:val="32"/>
        </w:rPr>
      </w:pPr>
      <w:bookmarkStart w:id="5" w:name="_Toc9013"/>
      <w:r>
        <w:rPr>
          <w:rFonts w:hint="eastAsia" w:ascii="黑体" w:hAnsi="黑体" w:eastAsia="黑体" w:cs="黑体"/>
          <w:color w:val="000000"/>
          <w:sz w:val="32"/>
          <w:szCs w:val="32"/>
        </w:rPr>
        <w:t>四、参赛团队及要求</w:t>
      </w:r>
      <w:bookmarkEnd w:id="5"/>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参赛团队要落实职业教育国家教学标准，对接职业标准（规范）、职业技能等级标准，体现“岗课赛证”融通，中职、高职、本科一体化培养等理念。关注产业发展新趋势、新业态、新模式，依据学校专业人才培养方案和课程标准，选取参赛内容，进行学情分析，确定教学目标，优化教学过程，合理运用技术、方法和资源等组织课堂教学，进行教学考核与评价，做出教学反思与诊改。教学实施应注重实效性，突出教学重难点的解决方法，实现师生、生生的全面良性互动，关注教与学全过程的信息采集，并根据反映出的问题及时调整教学策略。</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．参赛团队由</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人构成，成员须</w:t>
      </w:r>
      <w:r>
        <w:rPr>
          <w:rFonts w:hint="eastAsia" w:ascii="Times New Roman" w:hAnsi="Times New Roman" w:eastAsia="仿宋_GB2312" w:cs="Times New Roman"/>
          <w:sz w:val="32"/>
          <w:szCs w:val="32"/>
        </w:rPr>
        <w:t>具有</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年以上（含</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年）教龄，且在</w:t>
      </w:r>
      <w:r>
        <w:rPr>
          <w:rFonts w:hint="eastAsia" w:ascii="Times New Roman" w:hAnsi="Times New Roman" w:eastAsia="仿宋_GB2312" w:cs="Times New Roman"/>
          <w:color w:val="000000"/>
          <w:sz w:val="32"/>
          <w:szCs w:val="32"/>
        </w:rPr>
        <w:t>职业院校实际承担参赛课程或相关课程教学（含实习指导）的在职教师（在职教师包括职业院校在职在编教师、签订正式聘用合同并连续全职在参赛学校工作</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年以上</w:t>
      </w:r>
      <w:r>
        <w:rPr>
          <w:rFonts w:hint="eastAsia" w:ascii="Times New Roman" w:hAnsi="Times New Roman" w:eastAsia="仿宋_GB2312" w:cs="Times New Roman"/>
          <w:sz w:val="32"/>
          <w:szCs w:val="32"/>
        </w:rPr>
        <w:t>的在聘教师）。专业课程一组赛项、专业课程二组赛项参赛团队可吸收最多</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名学校正式聘用的企业兼职教师作为团队成员参赛。</w:t>
      </w:r>
    </w:p>
    <w:p>
      <w:pPr>
        <w:adjustRightInd w:val="0"/>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参赛团队结构合理，原则上</w:t>
      </w:r>
      <w:r>
        <w:rPr>
          <w:rFonts w:hint="eastAsia" w:ascii="Times New Roman" w:hAnsi="Times New Roman" w:eastAsia="仿宋_GB2312" w:cs="Times New Roman"/>
          <w:bCs/>
          <w:sz w:val="32"/>
          <w:szCs w:val="32"/>
        </w:rPr>
        <w:t>团队成员中至少</w:t>
      </w:r>
      <w:r>
        <w:rPr>
          <w:rFonts w:ascii="Times New Roman" w:hAnsi="Times New Roman" w:eastAsia="仿宋_GB2312" w:cs="Times New Roman"/>
          <w:bCs/>
          <w:sz w:val="32"/>
          <w:szCs w:val="32"/>
        </w:rPr>
        <w:t>1人应具备高级专业技术职务（副高及以上职称），或取得高级职业技能等级证书（</w:t>
      </w:r>
      <w:r>
        <w:rPr>
          <w:rFonts w:hint="eastAsia" w:ascii="Times New Roman" w:hAnsi="Times New Roman" w:eastAsia="仿宋_GB2312" w:cs="Times New Roman"/>
          <w:bCs/>
          <w:sz w:val="32"/>
          <w:szCs w:val="32"/>
        </w:rPr>
        <w:t>含</w:t>
      </w:r>
      <w:r>
        <w:rPr>
          <w:rFonts w:ascii="Times New Roman" w:hAnsi="Times New Roman" w:eastAsia="仿宋_GB2312" w:cs="Times New Roman"/>
          <w:bCs/>
          <w:sz w:val="32"/>
          <w:szCs w:val="32"/>
        </w:rPr>
        <w:t>国家职业资格三级及以上职业资格证书</w:t>
      </w:r>
      <w:r>
        <w:rPr>
          <w:rFonts w:hint="eastAsia" w:ascii="Times New Roman" w:hAnsi="Times New Roman" w:eastAsia="仿宋_GB2312" w:cs="Times New Roman"/>
          <w:bCs/>
          <w:sz w:val="32"/>
          <w:szCs w:val="32"/>
        </w:rPr>
        <w:t>或</w:t>
      </w:r>
      <w:r>
        <w:rPr>
          <w:rFonts w:ascii="Times New Roman" w:hAnsi="Times New Roman" w:eastAsia="仿宋_GB2312" w:cs="Times New Roman"/>
          <w:bCs/>
          <w:sz w:val="32"/>
          <w:szCs w:val="32"/>
        </w:rPr>
        <w:t>职业技能等级</w:t>
      </w:r>
      <w:r>
        <w:rPr>
          <w:rFonts w:hint="eastAsia" w:ascii="Times New Roman" w:hAnsi="Times New Roman" w:eastAsia="仿宋_GB2312" w:cs="Times New Roman"/>
          <w:bCs/>
          <w:sz w:val="32"/>
          <w:szCs w:val="32"/>
        </w:rPr>
        <w:t>高级及以上证书）</w:t>
      </w:r>
      <w:r>
        <w:rPr>
          <w:rFonts w:ascii="Times New Roman" w:hAnsi="Times New Roman" w:eastAsia="仿宋_GB2312" w:cs="Times New Roman"/>
          <w:bCs/>
          <w:sz w:val="32"/>
          <w:szCs w:val="32"/>
        </w:rPr>
        <w:t>等。专业课程团队“双师型”教师占比50%以上</w:t>
      </w:r>
      <w:r>
        <w:rPr>
          <w:rFonts w:hint="eastAsia" w:ascii="Times New Roman" w:hAnsi="Times New Roman" w:eastAsia="仿宋_GB2312" w:cs="Times New Roman"/>
          <w:bCs/>
          <w:sz w:val="32"/>
          <w:szCs w:val="32"/>
          <w:lang w:eastAsia="zh-Hans"/>
        </w:rPr>
        <w:t>（</w:t>
      </w:r>
      <w:r>
        <w:rPr>
          <w:rFonts w:hint="eastAsia" w:ascii="Times New Roman" w:hAnsi="Times New Roman" w:eastAsia="仿宋_GB2312" w:cs="Times New Roman"/>
          <w:bCs/>
          <w:sz w:val="32"/>
          <w:szCs w:val="32"/>
        </w:rPr>
        <w:t>含</w:t>
      </w:r>
      <w:r>
        <w:rPr>
          <w:rFonts w:ascii="Times New Roman" w:hAnsi="Times New Roman" w:eastAsia="仿宋_GB2312" w:cs="Times New Roman"/>
          <w:bCs/>
          <w:sz w:val="32"/>
          <w:szCs w:val="32"/>
        </w:rPr>
        <w:t>50%</w:t>
      </w:r>
      <w:r>
        <w:rPr>
          <w:rFonts w:hint="eastAsia" w:ascii="Times New Roman" w:hAnsi="Times New Roman" w:eastAsia="仿宋_GB2312" w:cs="Times New Roman"/>
          <w:bCs/>
          <w:sz w:val="32"/>
          <w:szCs w:val="32"/>
          <w:lang w:eastAsia="zh-Hans"/>
        </w:rPr>
        <w:t>），</w:t>
      </w:r>
      <w:r>
        <w:rPr>
          <w:rFonts w:hint="eastAsia" w:ascii="Times New Roman" w:hAnsi="Times New Roman" w:eastAsia="仿宋_GB2312" w:cs="Times New Roman"/>
          <w:sz w:val="32"/>
          <w:szCs w:val="32"/>
          <w:lang w:eastAsia="zh-Hans"/>
        </w:rPr>
        <w:t>“双师</w:t>
      </w:r>
      <w:r>
        <w:rPr>
          <w:rFonts w:hint="eastAsia" w:ascii="Times New Roman" w:hAnsi="Times New Roman" w:eastAsia="仿宋_GB2312" w:cs="Times New Roman"/>
          <w:sz w:val="32"/>
          <w:szCs w:val="32"/>
        </w:rPr>
        <w:t>型</w:t>
      </w:r>
      <w:r>
        <w:rPr>
          <w:rFonts w:hint="eastAsia"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rPr>
        <w:t>教师由学校根据教育行政部门相关标准认定，</w:t>
      </w:r>
      <w:r>
        <w:rPr>
          <w:rFonts w:hint="eastAsia" w:ascii="Times New Roman" w:hAnsi="Times New Roman" w:eastAsia="仿宋_GB2312" w:cs="Times New Roman"/>
          <w:sz w:val="32"/>
          <w:szCs w:val="32"/>
          <w:lang w:eastAsia="zh-Hans"/>
        </w:rPr>
        <w:t>或取得</w:t>
      </w:r>
      <w:r>
        <w:rPr>
          <w:rFonts w:hint="eastAsia" w:ascii="Times New Roman" w:hAnsi="Times New Roman" w:eastAsia="仿宋_GB2312" w:cs="Times New Roman"/>
          <w:bCs/>
          <w:sz w:val="32"/>
          <w:szCs w:val="32"/>
        </w:rPr>
        <w:t>教师系列职称外，还</w:t>
      </w:r>
      <w:r>
        <w:rPr>
          <w:rFonts w:hint="eastAsia" w:ascii="Times New Roman" w:hAnsi="Times New Roman" w:eastAsia="仿宋_GB2312" w:cs="Times New Roman"/>
          <w:bCs/>
          <w:sz w:val="32"/>
          <w:szCs w:val="32"/>
          <w:lang w:eastAsia="zh-Hans"/>
        </w:rPr>
        <w:t>取得职业资格证书、</w:t>
      </w:r>
      <w:r>
        <w:rPr>
          <w:rFonts w:hint="eastAsia" w:ascii="Times New Roman" w:hAnsi="Times New Roman" w:eastAsia="仿宋_GB2312" w:cs="Times New Roman"/>
          <w:sz w:val="32"/>
          <w:szCs w:val="32"/>
        </w:rPr>
        <w:t>职业技能等级证书、</w:t>
      </w:r>
      <w:r>
        <w:rPr>
          <w:rFonts w:ascii="Times New Roman" w:hAnsi="Times New Roman" w:eastAsia="仿宋_GB2312" w:cs="Times New Roman"/>
          <w:sz w:val="32"/>
          <w:szCs w:val="32"/>
        </w:rPr>
        <w:t>1+X证书和企业岗位认可的行业证书；</w:t>
      </w:r>
      <w:r>
        <w:rPr>
          <w:rFonts w:hint="eastAsia" w:ascii="Times New Roman" w:hAnsi="Times New Roman" w:eastAsia="仿宋_GB2312" w:cs="Times New Roman"/>
          <w:bCs/>
          <w:sz w:val="32"/>
          <w:szCs w:val="32"/>
        </w:rPr>
        <w:t>专业</w:t>
      </w:r>
      <w:r>
        <w:rPr>
          <w:rFonts w:hint="eastAsia" w:ascii="Times New Roman" w:hAnsi="Times New Roman" w:eastAsia="仿宋_GB2312" w:cs="Times New Roman"/>
          <w:bCs/>
          <w:sz w:val="32"/>
          <w:szCs w:val="32"/>
          <w:lang w:eastAsia="zh-Hans"/>
        </w:rPr>
        <w:t>语言类</w:t>
      </w:r>
      <w:r>
        <w:rPr>
          <w:rFonts w:hint="eastAsia" w:ascii="Times New Roman" w:hAnsi="Times New Roman" w:eastAsia="仿宋_GB2312" w:cs="Times New Roman"/>
          <w:bCs/>
          <w:sz w:val="32"/>
          <w:szCs w:val="32"/>
        </w:rPr>
        <w:t>教学团队可不受限制。</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获得</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年全国职业院校技能大赛教师教学能力比赛一等奖的团队全部成员不得报名参赛；获得二等奖的参赛团队须调整成员方能报名参赛（原</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人团队至少调整两名成员；原</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人团队至少调整一名成员，并可以再新增一名成员；原</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人团队可以保留两名成员，但至少新增一名成员）。</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国家级职业教育教师教学创新团队必须报名参赛，鼓励省级专业教学团队、教学名师、教学成果奖主持人以及具有正高级专业技术职务的优秀教师报名参赛。</w:t>
      </w:r>
    </w:p>
    <w:p>
      <w:pPr>
        <w:snapToGrid w:val="0"/>
        <w:spacing w:line="560" w:lineRule="exact"/>
        <w:ind w:firstLine="646" w:firstLineChars="200"/>
        <w:rPr>
          <w:rFonts w:ascii="黑体" w:hAnsi="黑体" w:eastAsia="黑体" w:cs="黑体"/>
          <w:sz w:val="32"/>
          <w:szCs w:val="32"/>
        </w:rPr>
      </w:pPr>
      <w:bookmarkStart w:id="6" w:name="_Toc22285"/>
      <w:r>
        <w:rPr>
          <w:rFonts w:hint="eastAsia" w:ascii="黑体" w:hAnsi="黑体" w:eastAsia="黑体" w:cs="黑体"/>
          <w:sz w:val="32"/>
          <w:szCs w:val="32"/>
        </w:rPr>
        <w:t>五、参赛作品及要求</w:t>
      </w:r>
      <w:bookmarkEnd w:id="6"/>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．参赛作品内容。</w:t>
      </w:r>
      <w:r>
        <w:rPr>
          <w:rFonts w:hint="eastAsia" w:ascii="Times New Roman" w:hAnsi="Times New Roman" w:eastAsia="仿宋_GB2312" w:cs="Times New Roman"/>
          <w:sz w:val="32"/>
          <w:szCs w:val="32"/>
        </w:rPr>
        <w:t>参赛团队选取一个学期中的某门课程教学内容完成教学设计、实施课堂教学、评价目标达成、进行反思改进。公共基础课程教学内容应突出思想性、注重基础性、体现职业性、反映时代性；专业课程教学内容应对接新技术、新工艺、新规范，体现专业升级和数字化改造。实训教学内容应基于真实工作任务、项目及工作流程、过程等，注重通过教师规范操作与有效示范培育学生精益求精、追求卓越的职业精神。实训教学内容应基于真实工作任务、项目及工作流程、过程等，注重通过教师规范操作与有效示范培育学生精益求精、追求卓越的职业精神。</w:t>
      </w:r>
    </w:p>
    <w:p>
      <w:pPr>
        <w:overflowPunct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公共基础课程赛项：</w:t>
      </w:r>
      <w:r>
        <w:rPr>
          <w:rFonts w:hint="eastAsia" w:ascii="Times New Roman" w:hAnsi="Times New Roman" w:eastAsia="仿宋_GB2312" w:cs="Times New Roman"/>
          <w:sz w:val="32"/>
          <w:szCs w:val="32"/>
        </w:rPr>
        <w:t>参赛作品应为不少于</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学时的一门公共基础课程</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p>
    <w:p>
      <w:pPr>
        <w:overflowPunct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专业课程一组赛项：</w:t>
      </w:r>
      <w:r>
        <w:rPr>
          <w:rFonts w:hint="eastAsia" w:ascii="Times New Roman" w:hAnsi="Times New Roman" w:eastAsia="仿宋_GB2312" w:cs="Times New Roman"/>
          <w:sz w:val="32"/>
          <w:szCs w:val="32"/>
        </w:rPr>
        <w:t>参赛作品应为专业课程，且不少于</w:t>
      </w: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学时的一门课程。</w:t>
      </w:r>
    </w:p>
    <w:p>
      <w:p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专业课程二组赛项</w:t>
      </w:r>
      <w:r>
        <w:rPr>
          <w:rFonts w:hint="eastAsia" w:ascii="Times New Roman" w:hAnsi="Times New Roman" w:eastAsia="仿宋_GB2312" w:cs="Times New Roman"/>
          <w:sz w:val="32"/>
          <w:szCs w:val="32"/>
        </w:rPr>
        <w:t>：参赛作品应为专业课程，且不少于</w:t>
      </w: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学时的一门课程，</w:t>
      </w:r>
      <w:r>
        <w:rPr>
          <w:rFonts w:hint="eastAsia" w:ascii="Times New Roman" w:hAnsi="Times New Roman" w:eastAsia="仿宋_GB2312" w:cs="Times New Roman"/>
          <w:b/>
          <w:bCs/>
          <w:sz w:val="32"/>
          <w:szCs w:val="32"/>
        </w:rPr>
        <w:t>其中实训教学内容不少于</w:t>
      </w:r>
      <w:r>
        <w:rPr>
          <w:rFonts w:ascii="Times New Roman" w:hAnsi="Times New Roman" w:eastAsia="仿宋_GB2312" w:cs="Times New Roman"/>
          <w:b/>
          <w:bCs/>
          <w:sz w:val="32"/>
          <w:szCs w:val="32"/>
        </w:rPr>
        <w:t>16</w:t>
      </w:r>
      <w:r>
        <w:rPr>
          <w:rFonts w:hint="eastAsia" w:ascii="Times New Roman" w:hAnsi="Times New Roman" w:eastAsia="仿宋_GB2312" w:cs="Times New Roman"/>
          <w:b/>
          <w:bCs/>
          <w:sz w:val="32"/>
          <w:szCs w:val="32"/>
        </w:rPr>
        <w:t>课时</w:t>
      </w:r>
      <w:r>
        <w:rPr>
          <w:rFonts w:hint="eastAsia" w:ascii="Times New Roman" w:hAnsi="Times New Roman" w:eastAsia="仿宋_GB2312" w:cs="Times New Roman"/>
          <w:sz w:val="32"/>
          <w:szCs w:val="32"/>
        </w:rPr>
        <w:t>。职业院校专业（类）岗位实习标准中的实习项目工作任务可参加专业课程二组比赛。</w:t>
      </w:r>
    </w:p>
    <w:p>
      <w:p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注：参赛课程在专业人才培养方案中安排了二个或二个以上学期，可选择其中一个学期的教学内容参赛。</w:t>
      </w:r>
    </w:p>
    <w:p>
      <w:pPr>
        <w:numPr>
          <w:ilvl w:val="0"/>
          <w:numId w:val="1"/>
        </w:num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参赛作品材料。</w:t>
      </w:r>
      <w:r>
        <w:rPr>
          <w:rFonts w:hint="eastAsia" w:ascii="Times New Roman" w:hAnsi="Times New Roman" w:eastAsia="仿宋_GB2312" w:cs="Times New Roman"/>
          <w:sz w:val="32"/>
          <w:szCs w:val="32"/>
        </w:rPr>
        <w:t>参赛作品材料包括参赛课程一个学期实际使用的教案、</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段课堂实录视频、教学实施报告，另附参赛作品所依据的实际使用的专业人才培养方案和课程标准。</w:t>
      </w:r>
    </w:p>
    <w:p>
      <w:pPr>
        <w:numPr>
          <w:ilvl w:val="255"/>
          <w:numId w:val="0"/>
        </w:num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赛作品应依据学校实际使用的专业人才培养方案和课程标准，针对不同生源分类施教、因材施教。落实《深化新时代教育评价改革总体方案》，改进结果评价，强化过程评价，探索增值评价，健全综合评价；鼓励依托线上平台和软件工具，运用大数据、人工智能等现代信息技术，开展教与学行为分析。中等职业学校应执行《关于加强中小学生手机管理工作的通知》中“有限带入校园、禁止带入课堂”的要求。具体要求见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．参赛作品依据。</w:t>
      </w:r>
      <w:r>
        <w:rPr>
          <w:rFonts w:hint="eastAsia" w:ascii="Times New Roman" w:hAnsi="Times New Roman" w:eastAsia="仿宋_GB2312" w:cs="Times New Roman"/>
          <w:sz w:val="32"/>
          <w:szCs w:val="32"/>
        </w:rPr>
        <w:t>参赛作品须符合教育部《关于职业院校专业人才培养方案制订与实施工作的指导意见》（教职成〔</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号）等文件要求；中职思想政治课应依据《中等职业学校思想政治课程标准（</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年版）》（教材〔</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号），高职高专思想政治理论课应依据《新时代学校思想政治理论课改革创新实施方案》（</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月）、《关于深化新时代学校思想政治理论课改革创新的若干意见》（</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月）、《新时代高校思想政治理论课教学工作基本要求》（教社科〔</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号）《高等学校思想政治理论课建设标准》（教社科〔</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号）；其他公共基础课应依据教育部及省教育厅颁布的相关标准。涉及</w:t>
      </w:r>
      <w:r>
        <w:rPr>
          <w:rFonts w:ascii="Times New Roman" w:hAnsi="Times New Roman" w:eastAsia="仿宋_GB2312" w:cs="Times New Roman"/>
          <w:sz w:val="32"/>
          <w:szCs w:val="32"/>
        </w:rPr>
        <w:t>1+X</w:t>
      </w:r>
      <w:r>
        <w:rPr>
          <w:rFonts w:hint="eastAsia" w:ascii="Times New Roman" w:hAnsi="Times New Roman" w:eastAsia="仿宋_GB2312" w:cs="Times New Roman"/>
          <w:sz w:val="32"/>
          <w:szCs w:val="32"/>
        </w:rPr>
        <w:t>证书制度试点的专业，还应对接有关职业技能等级标准。</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．参赛作品主要参考教材。</w:t>
      </w:r>
      <w:r>
        <w:rPr>
          <w:rFonts w:hint="eastAsia" w:ascii="Times New Roman" w:hAnsi="Times New Roman" w:eastAsia="仿宋_GB2312" w:cs="Times New Roman"/>
          <w:sz w:val="32"/>
          <w:szCs w:val="32"/>
        </w:rPr>
        <w:t>教材的选用须遵照《职业院校教材管理办法》等文件规定和要求。中职公共基础课教材须为省教育厅《关于进一步加强中等职业教育教材管理的通知》（湘教发〔</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号）中规定的教材，专业课教材须为国家规划或推荐教材；高职高专思想政治理论课教材须为《毛泽东思想和中国特色社会主义理论体系概论》或《思想道德修养和法治》。</w:t>
      </w:r>
    </w:p>
    <w:p>
      <w:pPr>
        <w:snapToGrid w:val="0"/>
        <w:spacing w:line="560" w:lineRule="exact"/>
        <w:ind w:firstLine="646" w:firstLineChars="200"/>
        <w:outlineLvl w:val="0"/>
        <w:rPr>
          <w:rFonts w:ascii="黑体" w:hAnsi="黑体" w:eastAsia="黑体" w:cs="黑体"/>
          <w:sz w:val="32"/>
          <w:szCs w:val="32"/>
        </w:rPr>
      </w:pPr>
      <w:bookmarkStart w:id="7" w:name="_Toc15995"/>
      <w:r>
        <w:rPr>
          <w:rFonts w:hint="eastAsia" w:ascii="黑体" w:hAnsi="黑体" w:eastAsia="黑体" w:cs="黑体"/>
          <w:sz w:val="32"/>
          <w:szCs w:val="32"/>
        </w:rPr>
        <w:t>六、比赛办法</w:t>
      </w:r>
      <w:bookmarkEnd w:id="7"/>
    </w:p>
    <w:p>
      <w:p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比赛分为初赛和决赛两个阶段。</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．初赛。</w:t>
      </w:r>
      <w:r>
        <w:rPr>
          <w:rFonts w:hint="eastAsia" w:ascii="Times New Roman" w:hAnsi="Times New Roman" w:eastAsia="仿宋_GB2312" w:cs="Times New Roman"/>
          <w:sz w:val="32"/>
          <w:szCs w:val="32"/>
        </w:rPr>
        <w:t>中职组初赛由各市州教育（体）局组织，高职高专组由学校组织，组织方式自行确定。各市州教育（体）局和高职高专院校根据参赛名额推荐参加决赛作品，推荐参加决赛的作品必须经初赛产生。</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．决赛。</w:t>
      </w:r>
      <w:r>
        <w:rPr>
          <w:rFonts w:hint="eastAsia" w:ascii="Times New Roman" w:hAnsi="Times New Roman" w:eastAsia="仿宋_GB2312" w:cs="Times New Roman"/>
          <w:sz w:val="32"/>
          <w:szCs w:val="32"/>
        </w:rPr>
        <w:t>决赛由省教育厅统一组织，分网络评审、现场决赛两个阶段。</w:t>
      </w:r>
    </w:p>
    <w:p>
      <w:p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）网络评审。专家通过网络评审参赛作品，并按评分标准（详见附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）进行综合评分。网络评审分组原则上按课程或专业大类分组。</w:t>
      </w:r>
      <w:r>
        <w:rPr>
          <w:rFonts w:ascii="Times New Roman" w:hAnsi="Times New Roman" w:eastAsia="仿宋_GB2312" w:cs="Times New Roman"/>
          <w:sz w:val="32"/>
          <w:szCs w:val="32"/>
        </w:rPr>
        <w:t xml:space="preserve"> </w:t>
      </w:r>
    </w:p>
    <w:p>
      <w:p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）现场决赛入围范围。各赛项网络评审成绩前</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进入现场决赛。</w:t>
      </w:r>
    </w:p>
    <w:p>
      <w:pPr>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）现场决赛。原则上分中职、高职高专按公共基础课程和专业大类分组。现场决赛时，参赛团队在现场随机抽取</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份不同教案，在限定时间内准备；一名成员介绍教学实施报告的有关内容；两名成员分别针对抽取的不同教案中的自选教学内容进行无学生展示；团队回答评委提问。根据参赛作品材料、团队现场展示和答辩情况，依据现场比赛评分标准确定最终比赛成绩。现场决赛的具体流程和要求详见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snapToGrid w:val="0"/>
        <w:spacing w:line="560" w:lineRule="exact"/>
        <w:ind w:firstLine="646" w:firstLineChars="200"/>
        <w:rPr>
          <w:rFonts w:ascii="黑体" w:hAnsi="黑体" w:eastAsia="黑体" w:cs="黑体"/>
          <w:color w:val="000000"/>
          <w:sz w:val="32"/>
          <w:szCs w:val="32"/>
        </w:rPr>
      </w:pPr>
      <w:r>
        <w:rPr>
          <w:rFonts w:hint="eastAsia" w:ascii="黑体" w:hAnsi="黑体" w:eastAsia="黑体" w:cs="黑体"/>
          <w:color w:val="000000"/>
          <w:sz w:val="32"/>
          <w:szCs w:val="32"/>
        </w:rPr>
        <w:t>七、参赛名额</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．中职主要根据市州学校数量、教师规模，以及国家改革发展示范校、省卓越校数量、</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年国赛获奖等因子确定中职组参赛名额（详见附</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）。市州应足额申报，同一专业大类作品每组不超过</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个，各市州推荐参赛作品时应重点考虑区域特色、兼顾专业大类均衡分布。</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．高职高专原则上每所学校报送作品总数不超过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双高计划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学校或</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年参加国赛获奖的参赛学校可增加</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个，名额不累加）。其中，公共基础课程组上限为</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个，同一门课程上限为</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个作品；专业课程一组上限为</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个作品，专业课程二组不少于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个作品，同一专业大类在专业课程一组和二组最多可分别报送</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个作品。</w:t>
      </w:r>
    </w:p>
    <w:p>
      <w:pPr>
        <w:overflowPunct w:val="0"/>
        <w:spacing w:line="560" w:lineRule="exact"/>
        <w:ind w:firstLine="646"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．获得</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全国职业院校技能大赛教学能力比赛一等奖的作品，其参赛团队所有成员的所在学校不能以同一公共基础课程报名参加公共基础课程组或以同一专业报名参加专业课程一组及二组的比赛。例如，甲校某专业的英语课程作品近二年内获得过公共基础课程组比赛一等奖，</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年该校所有专业的英语课程都不能报名参赛，但该专业开设的其他公共基础课程、专业课程可以报名参赛；乙校和丙校联合组队的软件技术专业某门专业课程作品近二年内获得过专业课程组比赛一等奖，</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年乙校和丙校软件技术专业的所有专业课程作品都不能报名参赛，但该专业开设的公共基础课程可以报名参赛。</w:t>
      </w:r>
    </w:p>
    <w:p>
      <w:pPr>
        <w:snapToGrid w:val="0"/>
        <w:spacing w:line="560" w:lineRule="exact"/>
        <w:ind w:firstLine="646" w:firstLineChars="200"/>
        <w:outlineLvl w:val="0"/>
        <w:rPr>
          <w:rFonts w:ascii="黑体" w:hAnsi="黑体" w:eastAsia="黑体" w:cs="黑体"/>
          <w:sz w:val="32"/>
          <w:szCs w:val="32"/>
        </w:rPr>
      </w:pPr>
      <w:bookmarkStart w:id="8" w:name="_Toc7614"/>
      <w:r>
        <w:rPr>
          <w:rFonts w:hint="eastAsia" w:ascii="黑体" w:hAnsi="黑体" w:eastAsia="黑体" w:cs="黑体"/>
          <w:sz w:val="32"/>
          <w:szCs w:val="32"/>
        </w:rPr>
        <w:t>八、奖项设置</w:t>
      </w:r>
      <w:bookmarkEnd w:id="8"/>
    </w:p>
    <w:p>
      <w:pPr>
        <w:overflowPunct w:val="0"/>
        <w:snapToGrid w:val="0"/>
        <w:spacing w:line="560" w:lineRule="exact"/>
        <w:ind w:firstLine="64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．单项奖。分中职、高职高专组设奖。其中，公共基础课程组按课程（含合并课程）设奖，专业课程一组、专业课程二组按专业大类（含合并）设奖。按参赛作品数的</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分别设置一、二、三等奖。根据网络评审成绩排序确定进入现场决赛作品以及部分二等奖和全部三等奖的拟获奖作品：各赛项组排前</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左右的作品进入现场决赛，排前</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作品拟获二等奖，排前</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的作品拟获三等奖。进入现场决赛的作品按现场比赛的成绩排序确定一、二等奖，网络评审成绩不带入现场决赛。成绩排序时，若总分相同，依次比较作品的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特色与创新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实施与成效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内容与策略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项目得分，得分高者列前。组委会秘书处将组织对参赛作品的专业备案、课程设置、实际教学等情况进行资格审核，通过资格审核的参赛作品方可获奖。</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．团体奖。综合本级比赛组织情况、参加省赛团队组织和作风情况、参赛作品资格审核情况、参赛作品获奖情况等因素，中职以市州为单位，高职高专以学校为单位设优秀组织奖，分别为</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个和</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w:t>
      </w:r>
    </w:p>
    <w:p>
      <w:pPr>
        <w:snapToGrid w:val="0"/>
        <w:spacing w:line="560" w:lineRule="exact"/>
        <w:ind w:firstLine="646" w:firstLineChars="200"/>
        <w:outlineLvl w:val="0"/>
        <w:rPr>
          <w:rFonts w:ascii="黑体" w:hAnsi="黑体" w:eastAsia="黑体" w:cs="黑体"/>
          <w:sz w:val="32"/>
          <w:szCs w:val="32"/>
        </w:rPr>
      </w:pPr>
      <w:bookmarkStart w:id="9" w:name="_Toc11132"/>
      <w:r>
        <w:rPr>
          <w:rFonts w:hint="eastAsia" w:ascii="黑体" w:hAnsi="黑体" w:eastAsia="黑体" w:cs="黑体"/>
          <w:sz w:val="32"/>
          <w:szCs w:val="32"/>
        </w:rPr>
        <w:t>九、时间安排</w:t>
      </w:r>
      <w:bookmarkEnd w:id="9"/>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．各市州教育（体）局、高职高专院校于</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月上旬前完成初赛，于</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17:30</w:t>
      </w:r>
      <w:r>
        <w:rPr>
          <w:rFonts w:hint="eastAsia" w:ascii="Times New Roman" w:hAnsi="Times New Roman" w:eastAsia="仿宋_GB2312" w:cs="Times New Roman"/>
          <w:sz w:val="32"/>
          <w:szCs w:val="32"/>
        </w:rPr>
        <w:t>前完成决赛报名和材料提交工作。</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．省教育厅于</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月上旬完成网络评审，</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月中旬组织完成现场决赛。</w:t>
      </w:r>
    </w:p>
    <w:p>
      <w:pPr>
        <w:snapToGrid w:val="0"/>
        <w:spacing w:line="560" w:lineRule="exact"/>
        <w:ind w:firstLine="646" w:firstLineChars="200"/>
        <w:outlineLvl w:val="0"/>
        <w:rPr>
          <w:rFonts w:ascii="黑体" w:hAnsi="黑体" w:eastAsia="黑体" w:cs="黑体"/>
          <w:sz w:val="32"/>
          <w:szCs w:val="32"/>
        </w:rPr>
      </w:pPr>
      <w:bookmarkStart w:id="10" w:name="_Toc8544"/>
      <w:r>
        <w:rPr>
          <w:rFonts w:hint="eastAsia" w:ascii="黑体" w:hAnsi="黑体" w:eastAsia="黑体" w:cs="黑体"/>
          <w:sz w:val="32"/>
          <w:szCs w:val="32"/>
        </w:rPr>
        <w:t>十、报名及联系方式</w:t>
      </w:r>
      <w:bookmarkEnd w:id="10"/>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．中职以市州为单位报名，高职高专以学校为单位报名，比赛组委会不接受参赛团队单独报名，报名工作指定专人负责。</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．报名及参赛材料：报名材料包括《比赛报名表》《比赛报名汇总表》《本级比赛情况统计表》（见附</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）、初赛方案、参赛团队成员身份证明材料（在职教师提供缴纳住房公积金的证明，签订合同或劳务派遣教师提供正式合同和缴纳社保的证明，企业兼职教师提交正式合同复印件）等。报名及参赛材料均通过“</w:t>
      </w:r>
      <w:r>
        <w:rPr>
          <w:rFonts w:ascii="Times New Roman" w:hAnsi="Times New Roman" w:eastAsia="仿宋_GB2312" w:cs="Times New Roman"/>
          <w:sz w:val="32"/>
          <w:szCs w:val="32"/>
        </w:rPr>
        <w:t>2022年“楚怡杯”湖南省职业院校</w:t>
      </w:r>
      <w:r>
        <w:rPr>
          <w:rFonts w:hint="eastAsia" w:ascii="Times New Roman" w:hAnsi="Times New Roman" w:eastAsia="仿宋_GB2312" w:cs="Times New Roman"/>
          <w:sz w:val="32"/>
          <w:szCs w:val="32"/>
        </w:rPr>
        <w:t>教师职业能力竞赛教学能力比赛平台”提交，平台网址和操作指南通过比赛沟通交流</w:t>
      </w:r>
      <w:r>
        <w:rPr>
          <w:rFonts w:ascii="Times New Roman" w:hAnsi="Times New Roman" w:eastAsia="仿宋_GB2312" w:cs="Times New Roman"/>
          <w:sz w:val="32"/>
          <w:szCs w:val="32"/>
        </w:rPr>
        <w:t>QQ</w:t>
      </w:r>
      <w:r>
        <w:rPr>
          <w:rFonts w:hint="eastAsia" w:ascii="Times New Roman" w:hAnsi="Times New Roman" w:eastAsia="仿宋_GB2312" w:cs="Times New Roman"/>
          <w:sz w:val="32"/>
          <w:szCs w:val="32"/>
        </w:rPr>
        <w:t>群另行发布。</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．联系方式：</w:t>
      </w:r>
    </w:p>
    <w:p>
      <w:pPr>
        <w:snapToGrid w:val="0"/>
        <w:spacing w:line="560" w:lineRule="exact"/>
        <w:ind w:firstLine="646"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省教育厅职成处：</w:t>
      </w:r>
      <w:r>
        <w:rPr>
          <w:rFonts w:hint="eastAsia" w:ascii="Times New Roman" w:hAnsi="Times New Roman" w:eastAsia="仿宋_GB2312" w:cs="Times New Roman"/>
          <w:color w:val="000000"/>
          <w:sz w:val="32"/>
          <w:szCs w:val="32"/>
        </w:rPr>
        <w:t>郭晓静、</w:t>
      </w:r>
      <w:r>
        <w:rPr>
          <w:rFonts w:hint="eastAsia" w:ascii="Times New Roman" w:hAnsi="Times New Roman" w:eastAsia="仿宋_GB2312" w:cs="Times New Roman"/>
          <w:sz w:val="32"/>
          <w:szCs w:val="32"/>
        </w:rPr>
        <w:t>王宇，</w:t>
      </w:r>
      <w:r>
        <w:rPr>
          <w:rFonts w:ascii="Times New Roman" w:hAnsi="Times New Roman" w:eastAsia="仿宋_GB2312" w:cs="Times New Roman"/>
          <w:sz w:val="32"/>
          <w:szCs w:val="32"/>
        </w:rPr>
        <w:t>0731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84723764</w:t>
      </w:r>
      <w:r>
        <w:rPr>
          <w:rFonts w:hint="eastAsia" w:ascii="Times New Roman" w:hAnsi="Times New Roman" w:eastAsia="仿宋_GB2312" w:cs="Times New Roman"/>
          <w:sz w:val="32"/>
          <w:szCs w:val="32"/>
        </w:rPr>
        <w:t>；</w:t>
      </w:r>
    </w:p>
    <w:p>
      <w:pPr>
        <w:snapToGrid w:val="0"/>
        <w:spacing w:line="560" w:lineRule="exact"/>
        <w:ind w:firstLine="646"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湖南机电职业技术学院：冉成科，</w:t>
      </w:r>
      <w:r>
        <w:rPr>
          <w:rFonts w:ascii="Times New Roman" w:hAnsi="Times New Roman" w:eastAsia="仿宋_GB2312" w:cs="Times New Roman"/>
          <w:sz w:val="32"/>
          <w:szCs w:val="32"/>
        </w:rPr>
        <w:t>0731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86206154</w:t>
      </w:r>
      <w:r>
        <w:rPr>
          <w:rFonts w:hint="eastAsia" w:ascii="Times New Roman" w:hAnsi="Times New Roman" w:eastAsia="仿宋_GB2312" w:cs="Times New Roman"/>
          <w:sz w:val="32"/>
          <w:szCs w:val="32"/>
        </w:rPr>
        <w:t>；</w:t>
      </w:r>
    </w:p>
    <w:p>
      <w:pPr>
        <w:snapToGrid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教师教学能力比赛沟通交流</w:t>
      </w:r>
      <w:r>
        <w:rPr>
          <w:rFonts w:ascii="Times New Roman" w:hAnsi="Times New Roman" w:eastAsia="仿宋_GB2312" w:cs="Times New Roman"/>
          <w:sz w:val="32"/>
          <w:szCs w:val="32"/>
        </w:rPr>
        <w:t>QQ</w:t>
      </w:r>
      <w:r>
        <w:rPr>
          <w:rFonts w:hint="eastAsia" w:ascii="Times New Roman" w:hAnsi="Times New Roman" w:eastAsia="仿宋_GB2312" w:cs="Times New Roman"/>
          <w:sz w:val="32"/>
          <w:szCs w:val="32"/>
        </w:rPr>
        <w:t>群号：</w:t>
      </w:r>
      <w:r>
        <w:rPr>
          <w:rFonts w:ascii="Times New Roman" w:hAnsi="Times New Roman" w:eastAsia="仿宋_GB2312" w:cs="Times New Roman"/>
          <w:sz w:val="32"/>
          <w:szCs w:val="32"/>
        </w:rPr>
        <w:t>775876881</w:t>
      </w:r>
      <w:r>
        <w:rPr>
          <w:rFonts w:hint="eastAsia" w:ascii="Times New Roman" w:hAnsi="Times New Roman" w:eastAsia="仿宋_GB2312" w:cs="Times New Roman"/>
          <w:sz w:val="32"/>
          <w:szCs w:val="32"/>
        </w:rPr>
        <w:t>。</w:t>
      </w:r>
    </w:p>
    <w:p>
      <w:pPr>
        <w:autoSpaceDE w:val="0"/>
        <w:autoSpaceDN w:val="0"/>
        <w:spacing w:line="560" w:lineRule="exact"/>
        <w:ind w:firstLine="646" w:firstLineChars="200"/>
        <w:rPr>
          <w:rFonts w:ascii="黑体" w:hAnsi="黑体" w:eastAsia="黑体" w:cs="黑体"/>
          <w:kern w:val="0"/>
          <w:sz w:val="32"/>
          <w:szCs w:val="32"/>
        </w:rPr>
      </w:pPr>
      <w:bookmarkStart w:id="11" w:name="_Toc16537"/>
      <w:r>
        <w:rPr>
          <w:rFonts w:hint="eastAsia" w:ascii="黑体" w:hAnsi="黑体" w:eastAsia="黑体" w:cs="黑体"/>
          <w:sz w:val="32"/>
          <w:szCs w:val="32"/>
        </w:rPr>
        <w:t>十一、其它</w:t>
      </w:r>
      <w:bookmarkEnd w:id="11"/>
    </w:p>
    <w:p>
      <w:pPr>
        <w:tabs>
          <w:tab w:val="left" w:pos="1356"/>
        </w:tabs>
        <w:spacing w:line="560" w:lineRule="exact"/>
        <w:ind w:firstLine="642" w:firstLineChars="200"/>
        <w:rPr>
          <w:rFonts w:ascii="Times New Roman" w:hAnsi="Times New Roman" w:eastAsia="仿宋_GB2312" w:cs="Times New Roman"/>
          <w:color w:val="000000"/>
          <w:spacing w:val="-1"/>
          <w:sz w:val="32"/>
          <w:szCs w:val="32"/>
        </w:rPr>
      </w:pPr>
      <w:r>
        <w:rPr>
          <w:rFonts w:ascii="Times New Roman" w:hAnsi="Times New Roman" w:eastAsia="仿宋_GB2312" w:cs="Times New Roman"/>
          <w:color w:val="000000"/>
          <w:spacing w:val="-1"/>
          <w:sz w:val="32"/>
          <w:szCs w:val="32"/>
        </w:rPr>
        <w:t>1</w:t>
      </w:r>
      <w:r>
        <w:rPr>
          <w:rFonts w:hint="eastAsia" w:ascii="Times New Roman" w:hAnsi="Times New Roman" w:eastAsia="仿宋_GB2312" w:cs="Times New Roman"/>
          <w:color w:val="000000"/>
          <w:spacing w:val="-1"/>
          <w:sz w:val="32"/>
          <w:szCs w:val="32"/>
        </w:rPr>
        <w:t>．各地各校要高度重视教师教学能力竞赛，做好宣传动员工作，鼓励广大教师积极参赛。各职业院校须组织校级初赛，市州须组织市州级选拔赛。省级决赛报名，各参赛队须提交初赛（选拔赛）比赛通知、成绩通报等相关资料。</w:t>
      </w:r>
    </w:p>
    <w:p>
      <w:pPr>
        <w:snapToGrid w:val="0"/>
        <w:spacing w:line="560" w:lineRule="exact"/>
        <w:ind w:firstLine="642" w:firstLineChars="200"/>
        <w:rPr>
          <w:rFonts w:ascii="Times New Roman" w:hAnsi="Times New Roman" w:eastAsia="仿宋_GB2312" w:cs="Times New Roman"/>
          <w:color w:val="000000"/>
          <w:spacing w:val="-1"/>
          <w:sz w:val="32"/>
          <w:szCs w:val="32"/>
        </w:rPr>
      </w:pPr>
      <w:r>
        <w:rPr>
          <w:rFonts w:ascii="Times New Roman" w:hAnsi="Times New Roman" w:eastAsia="仿宋_GB2312" w:cs="Times New Roman"/>
          <w:color w:val="000000"/>
          <w:spacing w:val="-1"/>
          <w:sz w:val="32"/>
          <w:szCs w:val="32"/>
        </w:rPr>
        <w:t>2</w:t>
      </w:r>
      <w:r>
        <w:rPr>
          <w:rFonts w:hint="eastAsia" w:ascii="Times New Roman" w:hAnsi="Times New Roman" w:eastAsia="仿宋_GB2312" w:cs="Times New Roman"/>
          <w:color w:val="000000"/>
          <w:spacing w:val="-1"/>
          <w:sz w:val="32"/>
          <w:szCs w:val="32"/>
        </w:rPr>
        <w:t>．各地各校要安排专人负责审核参加省级决赛团队选手的材料，</w:t>
      </w:r>
      <w:r>
        <w:rPr>
          <w:rFonts w:hint="eastAsia" w:ascii="Times New Roman" w:hAnsi="Times New Roman" w:eastAsia="仿宋_GB2312" w:cs="Times New Roman"/>
          <w:sz w:val="32"/>
          <w:szCs w:val="32"/>
        </w:rPr>
        <w:t>核对参赛作品的准确性、真实性和有效性，如所在学校相关专业和课程开设情况、参赛团队成员身份及实际授课情况、以及本级比赛遴选情况等。</w:t>
      </w:r>
      <w:r>
        <w:rPr>
          <w:rFonts w:hint="eastAsia" w:ascii="Times New Roman" w:hAnsi="Times New Roman" w:eastAsia="仿宋_GB2312" w:cs="Times New Roman"/>
          <w:color w:val="000000"/>
          <w:spacing w:val="-1"/>
          <w:sz w:val="32"/>
          <w:szCs w:val="32"/>
        </w:rPr>
        <w:t>如发现弄虚作假情况，将取消选手（或团队）参赛资格和成绩，并依据相关规定严肃处理。</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除《比赛报名表》《比赛报名汇总表》之外，所有参赛作品材料（含文件名及其属性）和现场展示和答辩时使用的所有材料和画面等，均不得以任何理由、任何形式泄露参赛团队属地、单位、姓名等信息，否则取消该团队参赛资格。</w:t>
      </w:r>
    </w:p>
    <w:p>
      <w:pPr>
        <w:tabs>
          <w:tab w:val="left" w:pos="1356"/>
        </w:tabs>
        <w:spacing w:line="56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color w:val="000000"/>
          <w:spacing w:val="-1"/>
          <w:sz w:val="32"/>
          <w:szCs w:val="32"/>
        </w:rPr>
        <w:t>4</w:t>
      </w:r>
      <w:r>
        <w:rPr>
          <w:rFonts w:hint="eastAsia" w:ascii="Times New Roman" w:hAnsi="Times New Roman" w:eastAsia="仿宋_GB2312" w:cs="Times New Roman"/>
          <w:color w:val="000000"/>
          <w:spacing w:val="-1"/>
          <w:sz w:val="32"/>
          <w:szCs w:val="32"/>
        </w:rPr>
        <w:t>．各地各校要做好参赛团队相关政策保障工作，将教师参加比赛及获奖情况纳入教学工作量，并作为教师考核奖励、职称职务评聘以及省市校各类人才项目、教学科研项目遴选和立项的重要指标。</w:t>
      </w:r>
      <w:r>
        <w:rPr>
          <w:rFonts w:hint="eastAsia" w:ascii="Times New Roman" w:hAnsi="Times New Roman" w:eastAsia="仿宋_GB2312" w:cs="Times New Roman"/>
          <w:sz w:val="32"/>
          <w:szCs w:val="32"/>
        </w:rPr>
        <w:t>省教育厅将进一步采取激励措施，将比赛获奖情况纳入职业院校项目遴选和绩效考评的重要依据。</w:t>
      </w:r>
    </w:p>
    <w:p>
      <w:pPr>
        <w:tabs>
          <w:tab w:val="left" w:pos="1356"/>
        </w:tabs>
        <w:spacing w:line="560" w:lineRule="exact"/>
        <w:ind w:firstLine="642" w:firstLineChars="200"/>
        <w:rPr>
          <w:rFonts w:ascii="Times New Roman" w:hAnsi="Times New Roman" w:eastAsia="仿宋_GB2312" w:cs="Times New Roman"/>
          <w:color w:val="000000"/>
          <w:spacing w:val="-1"/>
          <w:sz w:val="32"/>
          <w:szCs w:val="32"/>
        </w:rPr>
      </w:pPr>
      <w:r>
        <w:rPr>
          <w:rFonts w:ascii="Times New Roman" w:hAnsi="Times New Roman" w:eastAsia="仿宋_GB2312" w:cs="Times New Roman"/>
          <w:spacing w:val="-1"/>
          <w:sz w:val="32"/>
          <w:szCs w:val="32"/>
        </w:rPr>
        <w:t>5</w:t>
      </w:r>
      <w:r>
        <w:rPr>
          <w:rFonts w:hint="eastAsia" w:ascii="Times New Roman" w:hAnsi="Times New Roman" w:eastAsia="仿宋_GB2312" w:cs="Times New Roman"/>
          <w:spacing w:val="-1"/>
          <w:sz w:val="32"/>
          <w:szCs w:val="32"/>
        </w:rPr>
        <w:t>．省教育厅将根据</w:t>
      </w:r>
      <w:r>
        <w:rPr>
          <w:rFonts w:ascii="Times New Roman" w:hAnsi="Times New Roman" w:eastAsia="仿宋_GB2312" w:cs="Times New Roman"/>
          <w:spacing w:val="-1"/>
          <w:sz w:val="32"/>
          <w:szCs w:val="32"/>
        </w:rPr>
        <w:t>2022</w:t>
      </w:r>
      <w:r>
        <w:rPr>
          <w:rFonts w:hint="eastAsia" w:ascii="Times New Roman" w:hAnsi="Times New Roman" w:eastAsia="仿宋_GB2312" w:cs="Times New Roman"/>
          <w:spacing w:val="-1"/>
          <w:sz w:val="32"/>
          <w:szCs w:val="32"/>
        </w:rPr>
        <w:t>年全国职业院校技能大赛教师教学能力比赛要</w:t>
      </w:r>
      <w:r>
        <w:rPr>
          <w:rFonts w:hint="eastAsia" w:ascii="Times New Roman" w:hAnsi="Times New Roman" w:eastAsia="仿宋_GB2312" w:cs="Times New Roman"/>
          <w:color w:val="000000"/>
          <w:spacing w:val="-1"/>
          <w:sz w:val="32"/>
          <w:szCs w:val="32"/>
        </w:rPr>
        <w:t>求，组织省级比赛优秀作品参加国赛，具体办法另行制定。</w:t>
      </w:r>
    </w:p>
    <w:p>
      <w:pPr>
        <w:tabs>
          <w:tab w:val="left" w:pos="1356"/>
        </w:tabs>
        <w:spacing w:line="560" w:lineRule="exact"/>
        <w:ind w:firstLine="642" w:firstLineChars="200"/>
        <w:rPr>
          <w:rFonts w:ascii="Times New Roman" w:hAnsi="Times New Roman" w:eastAsia="仿宋_GB2312" w:cs="Times New Roman"/>
          <w:color w:val="000000"/>
          <w:spacing w:val="-1"/>
          <w:sz w:val="32"/>
          <w:szCs w:val="32"/>
        </w:rPr>
      </w:pPr>
      <w:r>
        <w:rPr>
          <w:rFonts w:ascii="Times New Roman" w:hAnsi="Times New Roman" w:eastAsia="仿宋_GB2312" w:cs="Times New Roman"/>
          <w:color w:val="000000"/>
          <w:spacing w:val="-1"/>
          <w:sz w:val="32"/>
          <w:szCs w:val="32"/>
        </w:rPr>
        <w:t>6.</w:t>
      </w:r>
      <w:r>
        <w:rPr>
          <w:rFonts w:hint="eastAsia" w:ascii="Times New Roman" w:hAnsi="Times New Roman" w:eastAsia="仿宋_GB2312" w:cs="Times New Roman"/>
          <w:color w:val="000000"/>
          <w:spacing w:val="-1"/>
          <w:sz w:val="32"/>
          <w:szCs w:val="32"/>
        </w:rPr>
        <w:t xml:space="preserve"> </w:t>
      </w:r>
      <w:r>
        <w:rPr>
          <w:rFonts w:hint="eastAsia" w:ascii="Times New Roman" w:hAnsi="Times New Roman" w:eastAsia="仿宋_GB2312" w:cs="Times New Roman"/>
          <w:color w:val="000000"/>
          <w:spacing w:val="-6"/>
          <w:sz w:val="32"/>
          <w:szCs w:val="32"/>
        </w:rPr>
        <w:t>常态化疫情防控期间，统筹做好疫情防控与比赛各项工作。</w:t>
      </w:r>
    </w:p>
    <w:p>
      <w:pPr>
        <w:snapToGrid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．本方案最终解释权归比赛组委会。</w:t>
      </w:r>
    </w:p>
    <w:p>
      <w:pPr>
        <w:ind w:left="1782" w:hanging="1134"/>
        <w:rPr>
          <w:rFonts w:ascii="Times New Roman" w:hAnsi="Times New Roman" w:eastAsia="仿宋_GB2312" w:cs="Times New Roman"/>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rFonts w:ascii="Times New Roman" w:hAnsi="Times New Roman" w:eastAsia="仿宋_GB2312" w:cs="Times New Roman"/>
          <w:sz w:val="32"/>
          <w:szCs w:val="32"/>
        </w:rPr>
      </w:pPr>
    </w:p>
    <w:p>
      <w:pPr>
        <w:overflowPunct w:val="0"/>
        <w:snapToGrid w:val="0"/>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2022年“楚怡杯”湖南省职业院校</w:t>
      </w:r>
      <w:r>
        <w:rPr>
          <w:rFonts w:hint="eastAsia" w:ascii="方正小标宋简体" w:hAnsi="方正小标宋简体" w:eastAsia="方正小标宋简体" w:cs="方正小标宋简体"/>
          <w:sz w:val="44"/>
          <w:szCs w:val="44"/>
        </w:rPr>
        <w:t>教师职业</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能力竞赛教学能力比赛参赛作品材料及</w:t>
      </w:r>
    </w:p>
    <w:p>
      <w:pPr>
        <w:overflowPunct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现场决赛有关要求</w:t>
      </w:r>
    </w:p>
    <w:p>
      <w:pPr>
        <w:overflowPunct w:val="0"/>
        <w:snapToGrid w:val="0"/>
        <w:spacing w:line="560" w:lineRule="exact"/>
        <w:jc w:val="center"/>
        <w:rPr>
          <w:rFonts w:ascii="Times New Roman" w:hAnsi="Times New Roman" w:eastAsia="仿宋_GB2312" w:cs="Times New Roman"/>
          <w:sz w:val="32"/>
          <w:szCs w:val="32"/>
        </w:rPr>
      </w:pPr>
    </w:p>
    <w:p>
      <w:pPr>
        <w:overflowPunct w:val="0"/>
        <w:spacing w:line="560" w:lineRule="exact"/>
        <w:ind w:firstLine="646" w:firstLineChars="200"/>
        <w:outlineLvl w:val="0"/>
        <w:rPr>
          <w:rFonts w:ascii="黑体" w:hAnsi="黑体" w:eastAsia="黑体" w:cs="黑体"/>
          <w:sz w:val="32"/>
          <w:szCs w:val="32"/>
        </w:rPr>
      </w:pPr>
      <w:bookmarkStart w:id="12" w:name="_Toc30864"/>
      <w:bookmarkStart w:id="13" w:name="_Toc7023"/>
      <w:r>
        <w:rPr>
          <w:rFonts w:ascii="黑体" w:hAnsi="黑体" w:eastAsia="黑体" w:cs="黑体"/>
          <w:sz w:val="32"/>
          <w:szCs w:val="32"/>
        </w:rPr>
        <w:t>一、参赛作品文档</w:t>
      </w:r>
      <w:bookmarkEnd w:id="12"/>
      <w:bookmarkEnd w:id="13"/>
    </w:p>
    <w:p>
      <w:pPr>
        <w:overflowPunct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所有文档材料均要求规范、简明、完整、朴实，正文使用小四号字、单倍行距，禁用以装饰为目的的图片或照片，以</w:t>
      </w:r>
      <w:r>
        <w:rPr>
          <w:rFonts w:ascii="Times New Roman" w:hAnsi="Times New Roman" w:eastAsia="仿宋_GB2312" w:cs="Times New Roman"/>
          <w:sz w:val="32"/>
          <w:szCs w:val="32"/>
        </w:rPr>
        <w:t>PDF</w:t>
      </w:r>
      <w:r>
        <w:rPr>
          <w:rFonts w:hint="eastAsia" w:ascii="Times New Roman" w:hAnsi="Times New Roman" w:eastAsia="仿宋_GB2312" w:cs="Times New Roman"/>
          <w:sz w:val="32"/>
          <w:szCs w:val="32"/>
        </w:rPr>
        <w:t>格式提交，每个文件大小不超过</w:t>
      </w:r>
      <w:r>
        <w:rPr>
          <w:rFonts w:ascii="Times New Roman" w:hAnsi="Times New Roman" w:eastAsia="仿宋_GB2312" w:cs="Times New Roman"/>
          <w:sz w:val="32"/>
          <w:szCs w:val="32"/>
        </w:rPr>
        <w:t>100M</w:t>
      </w:r>
      <w:r>
        <w:rPr>
          <w:rFonts w:hint="eastAsia" w:ascii="Times New Roman" w:hAnsi="Times New Roman" w:eastAsia="仿宋_GB2312" w:cs="Times New Roman"/>
          <w:sz w:val="32"/>
          <w:szCs w:val="32"/>
        </w:rPr>
        <w:t>。所有材料均不得透露学校、市（州、县）等相关信息。</w:t>
      </w:r>
    </w:p>
    <w:p>
      <w:pPr>
        <w:overflowPunct w:val="0"/>
        <w:spacing w:line="560" w:lineRule="exact"/>
        <w:ind w:firstLine="646" w:firstLineChars="200"/>
        <w:outlineLvl w:val="1"/>
        <w:rPr>
          <w:rFonts w:ascii="Times New Roman" w:hAnsi="Times New Roman" w:eastAsia="仿宋_GB2312" w:cs="Times New Roman"/>
          <w:sz w:val="32"/>
          <w:szCs w:val="32"/>
        </w:rPr>
      </w:pPr>
      <w:bookmarkStart w:id="14" w:name="_Toc15524"/>
      <w:bookmarkStart w:id="15" w:name="_Toc21491"/>
      <w:r>
        <w:rPr>
          <w:rFonts w:hint="eastAsia" w:ascii="Times New Roman" w:hAnsi="Times New Roman" w:eastAsia="仿宋_GB2312" w:cs="Times New Roman"/>
          <w:sz w:val="32"/>
          <w:szCs w:val="32"/>
        </w:rPr>
        <w:t>（一）参赛教案</w:t>
      </w:r>
      <w:bookmarkEnd w:id="14"/>
      <w:bookmarkEnd w:id="15"/>
    </w:p>
    <w:p>
      <w:pPr>
        <w:overflowPunct w:val="0"/>
        <w:spacing w:line="560" w:lineRule="exact"/>
        <w:ind w:firstLine="646" w:firstLineChars="200"/>
        <w:rPr>
          <w:rFonts w:ascii="Times New Roman" w:hAnsi="Times New Roman" w:eastAsia="仿宋_GB2312" w:cs="Times New Roman"/>
          <w:sz w:val="32"/>
          <w:szCs w:val="32"/>
        </w:rPr>
      </w:pPr>
      <w:bookmarkStart w:id="16" w:name="_Toc11112"/>
      <w:bookmarkStart w:id="17" w:name="_Toc23062"/>
      <w:r>
        <w:rPr>
          <w:rFonts w:hint="eastAsia" w:ascii="Times New Roman" w:hAnsi="Times New Roman" w:eastAsia="仿宋_GB2312" w:cs="Times New Roman"/>
          <w:sz w:val="32"/>
          <w:szCs w:val="32"/>
        </w:rPr>
        <w:t>参赛团队提交参赛课程一个学期内实际使用的教案。教案应以提交的专业人才培养方案和课程标准为依据撰写，包括授课信息、任务目标、学情分析、活动安排、课后反思等教学基本要素，要求设计合理、重点突出、前后衔接、规范完整、详略得当，体现具体的教学内容、活动及安排（其内容占主要篇幅），能够有效指导教学活动的实施，课后对授课实效、存在不足、改进设想进行客观深入反思。原则上每份教案的教学内容不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学时，实践性教学环节的教学内容可以不超过</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学时。每件参赛作品的全部教案（无需附加其他内容）按序逐一标明序号，合并为一个文件提交。为便于决赛现场随机抽取教案，请在教案目录序号栏自行标注“现场教学展示”字样，且专业课、公共基础课标注“现场教学展示”字样教案分别不少于</w:t>
      </w:r>
      <w:r>
        <w:rPr>
          <w:rFonts w:ascii="Times New Roman" w:hAnsi="Times New Roman" w:eastAsia="仿宋_GB2312" w:cs="Times New Roman"/>
          <w:sz w:val="32"/>
          <w:szCs w:val="32"/>
        </w:rPr>
        <w:t>8个</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6个。</w:t>
      </w:r>
    </w:p>
    <w:p>
      <w:pPr>
        <w:overflowPunct w:val="0"/>
        <w:spacing w:line="560" w:lineRule="exact"/>
        <w:ind w:firstLine="646" w:firstLineChars="200"/>
        <w:outlineLvl w:val="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（二）教学实施报告</w:t>
      </w:r>
      <w:bookmarkEnd w:id="16"/>
      <w:bookmarkEnd w:id="17"/>
    </w:p>
    <w:p>
      <w:pPr>
        <w:overflowPunct w:val="0"/>
        <w:spacing w:line="560" w:lineRule="exact"/>
        <w:ind w:firstLine="630"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参赛团队在完成一个学期教学任务之后，撰写</w:t>
      </w:r>
      <w:r>
        <w:rPr>
          <w:rFonts w:ascii="Times New Roman" w:hAnsi="Times New Roman" w:eastAsia="仿宋_GB2312" w:cs="Times New Roman"/>
          <w:spacing w:val="-4"/>
          <w:sz w:val="32"/>
          <w:szCs w:val="32"/>
        </w:rPr>
        <w:t>1</w:t>
      </w:r>
      <w:r>
        <w:rPr>
          <w:rFonts w:hint="eastAsia" w:ascii="Times New Roman" w:hAnsi="Times New Roman" w:eastAsia="仿宋_GB2312" w:cs="Times New Roman"/>
          <w:spacing w:val="-4"/>
          <w:sz w:val="32"/>
          <w:szCs w:val="32"/>
        </w:rPr>
        <w:t>份教学实施报告，梳理总结该课程的教学整体设计、教学实施过程、学生学习效果、反思改进措施等方面情况，突出重点和特色，体现创新举措和具体成效，可用图表加以佐证。中文字符在</w:t>
      </w:r>
      <w:r>
        <w:rPr>
          <w:rFonts w:ascii="Times New Roman" w:hAnsi="Times New Roman" w:eastAsia="仿宋_GB2312" w:cs="Times New Roman"/>
          <w:spacing w:val="-4"/>
          <w:sz w:val="32"/>
          <w:szCs w:val="32"/>
        </w:rPr>
        <w:t>6000</w:t>
      </w:r>
      <w:r>
        <w:rPr>
          <w:rFonts w:hint="eastAsia" w:ascii="Times New Roman" w:hAnsi="Times New Roman" w:eastAsia="仿宋_GB2312" w:cs="Times New Roman"/>
          <w:spacing w:val="-4"/>
          <w:sz w:val="32"/>
          <w:szCs w:val="32"/>
        </w:rPr>
        <w:t>字以内（文末注明正文“中文字符统计数”），插入的图表应有针对性、有效性，尺寸合适、清晰可见，不超过</w:t>
      </w:r>
      <w:r>
        <w:rPr>
          <w:rFonts w:ascii="Times New Roman" w:hAnsi="Times New Roman" w:eastAsia="仿宋_GB2312" w:cs="Times New Roman"/>
          <w:spacing w:val="-4"/>
          <w:sz w:val="32"/>
          <w:szCs w:val="32"/>
        </w:rPr>
        <w:t>12</w:t>
      </w:r>
      <w:r>
        <w:rPr>
          <w:rFonts w:hint="eastAsia" w:ascii="Times New Roman" w:hAnsi="Times New Roman" w:eastAsia="仿宋_GB2312" w:cs="Times New Roman"/>
          <w:spacing w:val="-4"/>
          <w:sz w:val="32"/>
          <w:szCs w:val="32"/>
        </w:rPr>
        <w:t>张。</w:t>
      </w:r>
    </w:p>
    <w:p>
      <w:pPr>
        <w:overflowPunct w:val="0"/>
        <w:spacing w:line="560" w:lineRule="exact"/>
        <w:ind w:firstLine="646" w:firstLineChars="200"/>
        <w:outlineLvl w:val="1"/>
        <w:rPr>
          <w:rFonts w:ascii="Times New Roman" w:hAnsi="Times New Roman" w:eastAsia="仿宋_GB2312" w:cs="Times New Roman"/>
          <w:sz w:val="32"/>
          <w:szCs w:val="32"/>
        </w:rPr>
      </w:pPr>
      <w:bookmarkStart w:id="18" w:name="_Toc12672"/>
      <w:bookmarkStart w:id="19" w:name="_Toc19934"/>
      <w:r>
        <w:rPr>
          <w:rFonts w:hint="eastAsia" w:ascii="Times New Roman" w:hAnsi="Times New Roman" w:eastAsia="仿宋_GB2312" w:cs="Times New Roman"/>
          <w:sz w:val="32"/>
          <w:szCs w:val="32"/>
        </w:rPr>
        <w:t>（三）专业人才培养方案</w:t>
      </w:r>
      <w:bookmarkEnd w:id="18"/>
      <w:bookmarkEnd w:id="19"/>
    </w:p>
    <w:p>
      <w:pPr>
        <w:overflowPunct w:val="0"/>
        <w:spacing w:line="560" w:lineRule="exact"/>
        <w:ind w:firstLine="646"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z w:val="32"/>
          <w:szCs w:val="32"/>
        </w:rPr>
        <w:t>参赛团队</w:t>
      </w:r>
      <w:r>
        <w:rPr>
          <w:rFonts w:hint="eastAsia" w:ascii="Times New Roman" w:hAnsi="Times New Roman" w:eastAsia="仿宋_GB2312" w:cs="Times New Roman"/>
          <w:spacing w:val="-4"/>
          <w:sz w:val="32"/>
          <w:szCs w:val="32"/>
        </w:rPr>
        <w:t>提交学校实际使用的专业人才培养方案。专业人才培养方案应按照《教育部关于职业院校专业人才培养方案制订与实施工作的指导意见》（教职成〔</w:t>
      </w:r>
      <w:r>
        <w:rPr>
          <w:rFonts w:ascii="Times New Roman" w:hAnsi="Times New Roman" w:eastAsia="仿宋_GB2312" w:cs="Times New Roman"/>
          <w:spacing w:val="-4"/>
          <w:sz w:val="32"/>
          <w:szCs w:val="32"/>
        </w:rPr>
        <w:t>2019</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13</w:t>
      </w:r>
      <w:r>
        <w:rPr>
          <w:rFonts w:hint="eastAsia" w:ascii="Times New Roman" w:hAnsi="Times New Roman" w:eastAsia="仿宋_GB2312" w:cs="Times New Roman"/>
          <w:spacing w:val="-4"/>
          <w:sz w:val="32"/>
          <w:szCs w:val="32"/>
        </w:rPr>
        <w:t>号）、《关于组织做好职业院校专业人才培养方案制订与实施工作的通知》（教职成司函〔</w:t>
      </w:r>
      <w:r>
        <w:rPr>
          <w:rFonts w:ascii="Times New Roman" w:hAnsi="Times New Roman" w:eastAsia="仿宋_GB2312" w:cs="Times New Roman"/>
          <w:spacing w:val="-4"/>
          <w:sz w:val="32"/>
          <w:szCs w:val="32"/>
        </w:rPr>
        <w:t>2019</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61</w:t>
      </w:r>
      <w:r>
        <w:rPr>
          <w:rFonts w:hint="eastAsia" w:ascii="Times New Roman" w:hAnsi="Times New Roman" w:eastAsia="仿宋_GB2312" w:cs="Times New Roman"/>
          <w:spacing w:val="-4"/>
          <w:sz w:val="32"/>
          <w:szCs w:val="32"/>
        </w:rPr>
        <w:t>号）和《教育部关于印发</w:t>
      </w:r>
      <w:r>
        <w:rPr>
          <w:rFonts w:ascii="Times New Roman" w:hAnsi="Times New Roman" w:eastAsia="仿宋_GB2312" w:cs="Times New Roman"/>
          <w:spacing w:val="-4"/>
          <w:sz w:val="32"/>
          <w:szCs w:val="32"/>
        </w:rPr>
        <w:t>&lt;</w:t>
      </w:r>
      <w:r>
        <w:rPr>
          <w:rFonts w:hint="eastAsia" w:ascii="Times New Roman" w:hAnsi="Times New Roman" w:eastAsia="仿宋_GB2312" w:cs="Times New Roman"/>
          <w:spacing w:val="-4"/>
          <w:sz w:val="32"/>
          <w:szCs w:val="32"/>
        </w:rPr>
        <w:t>职业教育专业目录（</w:t>
      </w:r>
      <w:r>
        <w:rPr>
          <w:rFonts w:ascii="Times New Roman" w:hAnsi="Times New Roman" w:eastAsia="仿宋_GB2312" w:cs="Times New Roman"/>
          <w:spacing w:val="-4"/>
          <w:sz w:val="32"/>
          <w:szCs w:val="32"/>
        </w:rPr>
        <w:t>2021</w:t>
      </w:r>
      <w:r>
        <w:rPr>
          <w:rFonts w:hint="eastAsia" w:ascii="Times New Roman" w:hAnsi="Times New Roman" w:eastAsia="仿宋_GB2312" w:cs="Times New Roman"/>
          <w:spacing w:val="-4"/>
          <w:sz w:val="32"/>
          <w:szCs w:val="32"/>
        </w:rPr>
        <w:t>年）</w:t>
      </w:r>
      <w:r>
        <w:rPr>
          <w:rFonts w:ascii="Times New Roman" w:hAnsi="Times New Roman" w:eastAsia="仿宋_GB2312" w:cs="Times New Roman"/>
          <w:spacing w:val="-4"/>
          <w:sz w:val="32"/>
          <w:szCs w:val="32"/>
        </w:rPr>
        <w:t>&gt;</w:t>
      </w:r>
      <w:r>
        <w:rPr>
          <w:rFonts w:hint="eastAsia" w:ascii="Times New Roman" w:hAnsi="Times New Roman" w:eastAsia="仿宋_GB2312" w:cs="Times New Roman"/>
          <w:spacing w:val="-4"/>
          <w:sz w:val="32"/>
          <w:szCs w:val="32"/>
        </w:rPr>
        <w:t>的通知》（教职成〔</w:t>
      </w:r>
      <w:r>
        <w:rPr>
          <w:rFonts w:ascii="Times New Roman" w:hAnsi="Times New Roman" w:eastAsia="仿宋_GB2312" w:cs="Times New Roman"/>
          <w:spacing w:val="-4"/>
          <w:sz w:val="32"/>
          <w:szCs w:val="32"/>
        </w:rPr>
        <w:t>2021</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2</w:t>
      </w:r>
      <w:r>
        <w:rPr>
          <w:rFonts w:hint="eastAsia" w:ascii="Times New Roman" w:hAnsi="Times New Roman" w:eastAsia="仿宋_GB2312" w:cs="Times New Roman"/>
          <w:spacing w:val="-4"/>
          <w:sz w:val="32"/>
          <w:szCs w:val="32"/>
        </w:rPr>
        <w:t>号）有关要求修订完善。参赛内容为公共基础课程的，只需提交实际开设该课程的其中一个专业的人才培养方案。</w:t>
      </w:r>
    </w:p>
    <w:p>
      <w:pPr>
        <w:overflowPunct w:val="0"/>
        <w:spacing w:line="560" w:lineRule="exact"/>
        <w:ind w:firstLine="646" w:firstLineChars="200"/>
        <w:outlineLvl w:val="1"/>
        <w:rPr>
          <w:rFonts w:ascii="Times New Roman" w:hAnsi="Times New Roman" w:eastAsia="仿宋_GB2312" w:cs="Times New Roman"/>
          <w:sz w:val="32"/>
          <w:szCs w:val="32"/>
        </w:rPr>
      </w:pPr>
      <w:bookmarkStart w:id="20" w:name="_Toc17202"/>
      <w:bookmarkStart w:id="21" w:name="_Toc31465"/>
      <w:r>
        <w:rPr>
          <w:rFonts w:hint="eastAsia" w:ascii="Times New Roman" w:hAnsi="Times New Roman" w:eastAsia="仿宋_GB2312" w:cs="Times New Roman"/>
          <w:sz w:val="32"/>
          <w:szCs w:val="32"/>
        </w:rPr>
        <w:t>（四）课程标准</w:t>
      </w:r>
      <w:bookmarkEnd w:id="20"/>
      <w:bookmarkEnd w:id="21"/>
    </w:p>
    <w:p>
      <w:pPr>
        <w:overflowPunct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赛团队提交参赛课程实际使用的课程标准。课程标准应依据职业教育国家教学标准体系、省教学标准体系中的相关标准要求，按照专业人才培养方案的相关标准，参考职业教育国家（省）规划教材或省级优质教材科学规范制定，明确课程性质与任务、课程目标与要求、课程结构与内容、学生考核与评价、教学实施与保障、授课进程与安排等，并附某一班级授课计划表（注明授课日期、学时）。多个授课班级只需</w:t>
      </w:r>
      <w:bookmarkStart w:id="22" w:name="_Hlk44365974"/>
      <w:r>
        <w:rPr>
          <w:rFonts w:hint="eastAsia" w:ascii="Times New Roman" w:hAnsi="Times New Roman" w:eastAsia="仿宋_GB2312" w:cs="Times New Roman"/>
          <w:sz w:val="32"/>
          <w:szCs w:val="32"/>
        </w:rPr>
        <w:t>提交其中一份</w:t>
      </w:r>
      <w:bookmarkEnd w:id="22"/>
      <w:r>
        <w:rPr>
          <w:rFonts w:hint="eastAsia" w:ascii="Times New Roman" w:hAnsi="Times New Roman" w:eastAsia="仿宋_GB2312" w:cs="Times New Roman"/>
          <w:sz w:val="32"/>
          <w:szCs w:val="32"/>
        </w:rPr>
        <w:t>课程标准。</w:t>
      </w:r>
    </w:p>
    <w:p>
      <w:pPr>
        <w:overflowPunct w:val="0"/>
        <w:spacing w:line="560" w:lineRule="exact"/>
        <w:ind w:firstLine="646" w:firstLineChars="200"/>
        <w:outlineLvl w:val="0"/>
        <w:rPr>
          <w:rFonts w:ascii="黑体" w:hAnsi="黑体" w:eastAsia="黑体" w:cs="黑体"/>
          <w:sz w:val="32"/>
          <w:szCs w:val="32"/>
        </w:rPr>
      </w:pPr>
      <w:bookmarkStart w:id="23" w:name="_Toc18869"/>
      <w:bookmarkStart w:id="24" w:name="_Toc4286"/>
      <w:r>
        <w:rPr>
          <w:rFonts w:ascii="黑体" w:hAnsi="黑体" w:eastAsia="黑体" w:cs="黑体"/>
          <w:sz w:val="32"/>
          <w:szCs w:val="32"/>
        </w:rPr>
        <w:t>二、参赛作品视频</w:t>
      </w:r>
      <w:bookmarkEnd w:id="23"/>
      <w:bookmarkEnd w:id="24"/>
      <w:r>
        <w:rPr>
          <w:rFonts w:ascii="黑体" w:hAnsi="黑体" w:eastAsia="黑体" w:cs="黑体"/>
          <w:sz w:val="32"/>
          <w:szCs w:val="32"/>
        </w:rPr>
        <w:t>材料</w:t>
      </w:r>
    </w:p>
    <w:p>
      <w:pPr>
        <w:overflowPunct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团队成员按照教学设计实施课堂教学（含实训、实习），录制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个课堂实录视频，其中</w:t>
      </w:r>
      <w:r>
        <w:rPr>
          <w:rFonts w:ascii="Times New Roman" w:hAnsi="Times New Roman" w:eastAsia="仿宋_GB2312" w:cs="Times New Roman"/>
          <w:sz w:val="32"/>
          <w:szCs w:val="32"/>
        </w:rPr>
        <w:t>1个实录</w:t>
      </w:r>
      <w:r>
        <w:rPr>
          <w:rFonts w:hint="eastAsia" w:ascii="Times New Roman" w:hAnsi="Times New Roman" w:eastAsia="仿宋_GB2312" w:cs="Times New Roman"/>
          <w:sz w:val="32"/>
          <w:szCs w:val="32"/>
        </w:rPr>
        <w:t>视频为一整节课（不低于</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分钟），剩余</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个实录视频为课堂片断（每个片断为</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分钟），每位团队成员至少录制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视频。视频应在实际教学（含岗位实习）场所拍摄，参与学习的应是授课班级的全体学生（按照课程标准、教学实际等情况设计实施分班教学的需有专门说明）。每个视频可自行选择教学场景，应分别完整、清晰地呈现参赛作品中内容相对独立完整、课程属性特质鲜明、反映团队成员教学风格的教学活动实况，不得过度包装。专业课程二组参赛作品的视频中须包含不少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段反映团队成员关键技术技能教学操作与示范的教学实况。</w:t>
      </w:r>
    </w:p>
    <w:p>
      <w:pPr>
        <w:overflowPunct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课堂实录视频须采用单机方式全程连续录制，不得使用明显脱离课堂教学实际、片面追求拍摄效果、费用昂贵的技术与环境（比如虚拟演播系统、临时拼接大型</w:t>
      </w:r>
      <w:r>
        <w:rPr>
          <w:rFonts w:ascii="Times New Roman" w:hAnsi="Times New Roman" w:eastAsia="仿宋_GB2312" w:cs="Times New Roman"/>
          <w:sz w:val="32"/>
          <w:szCs w:val="32"/>
        </w:rPr>
        <w:t>LED</w:t>
      </w:r>
      <w:r>
        <w:rPr>
          <w:rFonts w:hint="eastAsia" w:ascii="Times New Roman" w:hAnsi="Times New Roman" w:eastAsia="仿宋_GB2312" w:cs="Times New Roman"/>
          <w:sz w:val="32"/>
          <w:szCs w:val="32"/>
        </w:rPr>
        <w:t>显示屏等），不允许另行剪辑及配音，不加片头片尾、字幕注解，不得泄露地区、学校名称。采用</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格式封装，整堂课实录文件大小不超过</w:t>
      </w:r>
      <w:r>
        <w:rPr>
          <w:rFonts w:ascii="Times New Roman" w:hAnsi="Times New Roman" w:eastAsia="仿宋_GB2312" w:cs="Times New Roman"/>
          <w:sz w:val="32"/>
          <w:szCs w:val="32"/>
        </w:rPr>
        <w:t>500M</w:t>
      </w:r>
      <w:r>
        <w:rPr>
          <w:rFonts w:hint="eastAsia" w:ascii="Times New Roman" w:hAnsi="Times New Roman" w:eastAsia="仿宋_GB2312" w:cs="Times New Roman"/>
          <w:sz w:val="32"/>
          <w:szCs w:val="32"/>
        </w:rPr>
        <w:t>，片断实录文件大小不超过</w:t>
      </w:r>
      <w:r>
        <w:rPr>
          <w:rFonts w:ascii="Times New Roman" w:hAnsi="Times New Roman" w:eastAsia="仿宋_GB2312" w:cs="Times New Roman"/>
          <w:sz w:val="32"/>
          <w:szCs w:val="32"/>
        </w:rPr>
        <w:t>200M</w:t>
      </w:r>
      <w:r>
        <w:rPr>
          <w:rFonts w:hint="eastAsia" w:ascii="Times New Roman" w:hAnsi="Times New Roman" w:eastAsia="仿宋_GB2312" w:cs="Times New Roman"/>
          <w:sz w:val="32"/>
          <w:szCs w:val="32"/>
        </w:rPr>
        <w:t>。每段视频文件以“教案序号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教学活动名称”分别命名。</w:t>
      </w:r>
    </w:p>
    <w:p>
      <w:pPr>
        <w:overflowPunct w:val="0"/>
        <w:spacing w:line="560" w:lineRule="exact"/>
        <w:ind w:firstLine="64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视频录制软件不限，采用</w:t>
      </w:r>
      <w:r>
        <w:rPr>
          <w:rFonts w:ascii="Times New Roman" w:hAnsi="Times New Roman" w:eastAsia="仿宋_GB2312" w:cs="Times New Roman"/>
          <w:sz w:val="32"/>
          <w:szCs w:val="32"/>
        </w:rPr>
        <w:t>H.264/AVC</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MPEG-4 Part10</w:t>
      </w:r>
      <w:r>
        <w:rPr>
          <w:rFonts w:hint="eastAsia" w:ascii="Times New Roman" w:hAnsi="Times New Roman" w:eastAsia="仿宋_GB2312" w:cs="Times New Roman"/>
          <w:sz w:val="32"/>
          <w:szCs w:val="32"/>
        </w:rPr>
        <w:t>）编码格式压缩；动态码流的码率不低于</w:t>
      </w:r>
      <w:r>
        <w:rPr>
          <w:rFonts w:ascii="Times New Roman" w:hAnsi="Times New Roman" w:eastAsia="仿宋_GB2312" w:cs="Times New Roman"/>
          <w:sz w:val="32"/>
          <w:szCs w:val="32"/>
        </w:rPr>
        <w:t>1024Kbps</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1280Kbps</w:t>
      </w:r>
      <w:r>
        <w:rPr>
          <w:rFonts w:hint="eastAsia" w:ascii="Times New Roman" w:hAnsi="Times New Roman" w:eastAsia="仿宋_GB2312" w:cs="Times New Roman"/>
          <w:sz w:val="32"/>
          <w:szCs w:val="32"/>
        </w:rPr>
        <w:t>；分辨率设定为</w:t>
      </w:r>
      <w:r>
        <w:rPr>
          <w:rFonts w:ascii="Times New Roman" w:hAnsi="Times New Roman" w:eastAsia="仿宋_GB2312" w:cs="Times New Roman"/>
          <w:sz w:val="32"/>
          <w:szCs w:val="32"/>
        </w:rPr>
        <w:t>720×576</w:t>
      </w:r>
      <w:r>
        <w:rPr>
          <w:rFonts w:hint="eastAsia" w:ascii="Times New Roman" w:hAnsi="Times New Roman" w:eastAsia="仿宋_GB2312" w:cs="Times New Roman"/>
          <w:sz w:val="32"/>
          <w:szCs w:val="32"/>
        </w:rPr>
        <w:t>（标清</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拍摄）或</w:t>
      </w:r>
      <w:r>
        <w:rPr>
          <w:rFonts w:ascii="Times New Roman" w:hAnsi="Times New Roman" w:eastAsia="仿宋_GB2312" w:cs="Times New Roman"/>
          <w:sz w:val="32"/>
          <w:szCs w:val="32"/>
        </w:rPr>
        <w:t>1280×720</w:t>
      </w:r>
      <w:r>
        <w:rPr>
          <w:rFonts w:hint="eastAsia" w:ascii="Times New Roman" w:hAnsi="Times New Roman" w:eastAsia="仿宋_GB2312" w:cs="Times New Roman"/>
          <w:sz w:val="32"/>
          <w:szCs w:val="32"/>
        </w:rPr>
        <w:t>（高清</w:t>
      </w:r>
      <w:r>
        <w:rPr>
          <w:rFonts w:ascii="Times New Roman" w:hAnsi="Times New Roman" w:eastAsia="仿宋_GB2312" w:cs="Times New Roman"/>
          <w:sz w:val="32"/>
          <w:szCs w:val="32"/>
        </w:rPr>
        <w:t>16:9</w:t>
      </w:r>
      <w:r>
        <w:rPr>
          <w:rFonts w:hint="eastAsia" w:ascii="Times New Roman" w:hAnsi="Times New Roman" w:eastAsia="仿宋_GB2312" w:cs="Times New Roman"/>
          <w:sz w:val="32"/>
          <w:szCs w:val="32"/>
        </w:rPr>
        <w:t>拍摄）；采用逐行扫描（帧率</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秒）。音频采用</w:t>
      </w:r>
      <w:r>
        <w:rPr>
          <w:rFonts w:ascii="Times New Roman" w:hAnsi="Times New Roman" w:eastAsia="仿宋_GB2312" w:cs="Times New Roman"/>
          <w:sz w:val="32"/>
          <w:szCs w:val="32"/>
        </w:rPr>
        <w:t>AAC</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MPEG4 Part3</w:t>
      </w:r>
      <w:r>
        <w:rPr>
          <w:rFonts w:hint="eastAsia" w:ascii="Times New Roman" w:hAnsi="Times New Roman" w:eastAsia="仿宋_GB2312" w:cs="Times New Roman"/>
          <w:sz w:val="32"/>
          <w:szCs w:val="32"/>
        </w:rPr>
        <w:t>）格式压缩；采样率</w:t>
      </w:r>
      <w:r>
        <w:rPr>
          <w:rFonts w:ascii="Times New Roman" w:hAnsi="Times New Roman" w:eastAsia="仿宋_GB2312" w:cs="Times New Roman"/>
          <w:sz w:val="32"/>
          <w:szCs w:val="32"/>
        </w:rPr>
        <w:t>48KHz</w:t>
      </w:r>
      <w:r>
        <w:rPr>
          <w:rFonts w:hint="eastAsia" w:ascii="Times New Roman" w:hAnsi="Times New Roman" w:eastAsia="仿宋_GB2312" w:cs="Times New Roman"/>
          <w:sz w:val="32"/>
          <w:szCs w:val="32"/>
        </w:rPr>
        <w:t>；码流</w:t>
      </w:r>
      <w:r>
        <w:rPr>
          <w:rFonts w:ascii="Times New Roman" w:hAnsi="Times New Roman" w:eastAsia="仿宋_GB2312" w:cs="Times New Roman"/>
          <w:sz w:val="32"/>
          <w:szCs w:val="32"/>
        </w:rPr>
        <w:t>128Kbps</w:t>
      </w:r>
      <w:r>
        <w:rPr>
          <w:rFonts w:hint="eastAsia" w:ascii="Times New Roman" w:hAnsi="Times New Roman" w:eastAsia="仿宋_GB2312" w:cs="Times New Roman"/>
          <w:sz w:val="32"/>
          <w:szCs w:val="32"/>
        </w:rPr>
        <w:t>（恒定）。</w:t>
      </w:r>
    </w:p>
    <w:p>
      <w:pPr>
        <w:overflowPunct w:val="0"/>
        <w:spacing w:line="560" w:lineRule="exact"/>
        <w:ind w:firstLine="646" w:firstLineChars="200"/>
        <w:outlineLvl w:val="0"/>
        <w:rPr>
          <w:rFonts w:ascii="黑体" w:hAnsi="黑体" w:eastAsia="黑体" w:cs="黑体"/>
          <w:sz w:val="32"/>
          <w:szCs w:val="32"/>
        </w:rPr>
      </w:pPr>
      <w:bookmarkStart w:id="25" w:name="_Toc25076"/>
      <w:bookmarkStart w:id="26" w:name="_Toc232"/>
      <w:bookmarkStart w:id="27" w:name="_Hlk9763296"/>
      <w:r>
        <w:rPr>
          <w:rFonts w:ascii="黑体" w:hAnsi="黑体" w:eastAsia="黑体" w:cs="黑体"/>
          <w:sz w:val="32"/>
          <w:szCs w:val="32"/>
        </w:rPr>
        <w:t>三、现场决赛</w:t>
      </w:r>
      <w:bookmarkEnd w:id="25"/>
      <w:bookmarkEnd w:id="26"/>
    </w:p>
    <w:p>
      <w:pPr>
        <w:overflowPunct w:val="0"/>
        <w:spacing w:line="560" w:lineRule="exact"/>
        <w:ind w:firstLine="646" w:firstLineChars="200"/>
        <w:outlineLvl w:val="1"/>
        <w:rPr>
          <w:rFonts w:ascii="Times New Roman" w:hAnsi="Times New Roman" w:eastAsia="仿宋_GB2312" w:cs="Times New Roman"/>
          <w:sz w:val="32"/>
          <w:szCs w:val="32"/>
        </w:rPr>
      </w:pPr>
      <w:bookmarkStart w:id="28" w:name="_Toc17388"/>
      <w:bookmarkStart w:id="29" w:name="_Toc14333"/>
      <w:bookmarkStart w:id="30" w:name="_Hlk9724658"/>
      <w:r>
        <w:rPr>
          <w:rFonts w:hint="eastAsia" w:ascii="Times New Roman" w:hAnsi="Times New Roman" w:eastAsia="仿宋_GB2312" w:cs="Times New Roman"/>
          <w:sz w:val="32"/>
          <w:szCs w:val="32"/>
        </w:rPr>
        <w:t>（一）赛前准备</w:t>
      </w:r>
      <w:bookmarkEnd w:id="28"/>
      <w:bookmarkEnd w:id="29"/>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．入围现场决赛的参赛团队赛前一天熟悉赛场，抽签决定场次。</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pacing w:val="-6"/>
          <w:sz w:val="32"/>
          <w:szCs w:val="32"/>
        </w:rPr>
        <w:t>决赛当天，参赛团队按抽签顺序进入备赛场所，在提交的教案且标明现场教学展示的教案序号内随机抽取</w:t>
      </w:r>
      <w:r>
        <w:rPr>
          <w:rFonts w:ascii="Times New Roman" w:hAnsi="Times New Roman" w:eastAsia="仿宋_GB2312" w:cs="Times New Roman"/>
          <w:spacing w:val="-6"/>
          <w:sz w:val="32"/>
          <w:szCs w:val="32"/>
        </w:rPr>
        <w:t>2</w:t>
      </w:r>
      <w:r>
        <w:rPr>
          <w:rFonts w:hint="eastAsia" w:ascii="Times New Roman" w:hAnsi="Times New Roman" w:eastAsia="仿宋_GB2312" w:cs="Times New Roman"/>
          <w:spacing w:val="-6"/>
          <w:sz w:val="32"/>
          <w:szCs w:val="32"/>
        </w:rPr>
        <w:t>份不同教案，自选其中部分内容进行准备。</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．参赛团队在备赛室可利用自带电脑、小型教具（重量不超过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公斤、长不超过</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米、宽不超过</w:t>
      </w:r>
      <w:r>
        <w:rPr>
          <w:rFonts w:ascii="Times New Roman" w:hAnsi="Times New Roman" w:eastAsia="仿宋_GB2312" w:cs="Times New Roman"/>
          <w:sz w:val="32"/>
          <w:szCs w:val="32"/>
        </w:rPr>
        <w:t>0.5</w:t>
      </w:r>
      <w:r>
        <w:rPr>
          <w:rFonts w:hint="eastAsia" w:ascii="Times New Roman" w:hAnsi="Times New Roman" w:eastAsia="仿宋_GB2312" w:cs="Times New Roman"/>
          <w:sz w:val="32"/>
          <w:szCs w:val="32"/>
        </w:rPr>
        <w:t>米）资源与网络资源（现场提供网络服务）进行准备，限时</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分钟。</w:t>
      </w:r>
    </w:p>
    <w:p>
      <w:pPr>
        <w:overflowPunct w:val="0"/>
        <w:spacing w:line="560" w:lineRule="exact"/>
        <w:ind w:firstLine="646" w:firstLineChars="200"/>
        <w:outlineLvl w:val="1"/>
        <w:rPr>
          <w:rFonts w:ascii="Times New Roman" w:hAnsi="Times New Roman" w:eastAsia="仿宋_GB2312" w:cs="Times New Roman"/>
          <w:sz w:val="32"/>
          <w:szCs w:val="32"/>
        </w:rPr>
      </w:pPr>
      <w:bookmarkStart w:id="31" w:name="_Toc9861"/>
      <w:bookmarkStart w:id="32" w:name="_Toc4994"/>
      <w:r>
        <w:rPr>
          <w:rFonts w:hint="eastAsia" w:ascii="Times New Roman" w:hAnsi="Times New Roman" w:eastAsia="仿宋_GB2312" w:cs="Times New Roman"/>
          <w:sz w:val="32"/>
          <w:szCs w:val="32"/>
        </w:rPr>
        <w:t>（二）内容介绍与</w:t>
      </w:r>
      <w:bookmarkEnd w:id="31"/>
      <w:bookmarkEnd w:id="32"/>
      <w:r>
        <w:rPr>
          <w:rFonts w:hint="eastAsia" w:ascii="Times New Roman" w:hAnsi="Times New Roman" w:eastAsia="仿宋_GB2312" w:cs="Times New Roman"/>
          <w:sz w:val="32"/>
          <w:szCs w:val="32"/>
        </w:rPr>
        <w:t>教学展示</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．参赛团队按时进入比赛室，一名成员简要介绍教学实施报告的主要内容、创新特色（不超过</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分钟）；两名成员分别针对抽取的不同教案中的自选教学内容进行无学生教学展示（如新知讲解、示范操作、学习结果分析、课堂教学小结等），教学展示应符合无学生教学情境。展示时长合计</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分钟，期间另外安排换场准备，用时不超过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分钟。比赛现场提供一台智能交互一体机和一板黑板（或白板）。</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．现场展示不得透露学校、市（州、县）等相关信息。</w:t>
      </w:r>
    </w:p>
    <w:p>
      <w:pPr>
        <w:overflowPunct w:val="0"/>
        <w:spacing w:line="560" w:lineRule="exact"/>
        <w:ind w:firstLine="646" w:firstLineChars="200"/>
        <w:outlineLvl w:val="1"/>
        <w:rPr>
          <w:rFonts w:ascii="Times New Roman" w:hAnsi="Times New Roman" w:eastAsia="仿宋_GB2312" w:cs="Times New Roman"/>
          <w:sz w:val="32"/>
          <w:szCs w:val="32"/>
        </w:rPr>
      </w:pPr>
      <w:bookmarkStart w:id="33" w:name="_Toc2365"/>
      <w:bookmarkStart w:id="34" w:name="_Toc31301"/>
      <w:r>
        <w:rPr>
          <w:rFonts w:hint="eastAsia" w:ascii="Times New Roman" w:hAnsi="Times New Roman" w:eastAsia="仿宋_GB2312" w:cs="Times New Roman"/>
          <w:sz w:val="32"/>
          <w:szCs w:val="32"/>
        </w:rPr>
        <w:t>（三）答辩</w:t>
      </w:r>
      <w:bookmarkEnd w:id="33"/>
      <w:bookmarkEnd w:id="34"/>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．评委针对参赛作品材料、教学实施报告介绍和无学生教学展示，集体讨论提出</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个问题（包括参赛作品所涉及的理念、策略、模式、目标、成效、创新点，以及学科、专业领域的素质、知识、技能等）。评委集体讨论时参赛团队回避。</w:t>
      </w:r>
    </w:p>
    <w:bookmarkEnd w:id="30"/>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．参赛团队针对屏幕呈现的问题（评委不再复述或解读、可以事先指定答题者），逐一回答并阐述个人观点，时间不超过</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分钟（含读题审题），在时间允许的情况下，评委可以追问。原则上未参与内容介绍及教学展示的团队成员，必须参与答题。</w:t>
      </w:r>
    </w:p>
    <w:p>
      <w:pPr>
        <w:overflowPunct w:val="0"/>
        <w:spacing w:line="560" w:lineRule="exact"/>
        <w:ind w:firstLine="64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．参赛团队答题时可以展示佐证资料，但不得递交给评委。佐证材料不得透露学校、市（州、县）等相关信息。</w:t>
      </w:r>
      <w:bookmarkEnd w:id="27"/>
    </w:p>
    <w:p>
      <w:pPr>
        <w:overflowPunct w:val="0"/>
        <w:spacing w:line="560" w:lineRule="exact"/>
        <w:ind w:firstLine="426" w:firstLineChars="200"/>
        <w:rPr>
          <w:rFonts w:ascii="Times New Roman" w:hAnsi="Times New Roman" w:eastAsia="仿宋_GB2312" w:cs="Times New Roman"/>
          <w:szCs w:val="32"/>
        </w:rPr>
        <w:sectPr>
          <w:footerReference r:id="rId5" w:type="first"/>
          <w:footerReference r:id="rId3" w:type="default"/>
          <w:footerReference r:id="rId4" w:type="even"/>
          <w:pgSz w:w="11906" w:h="16838"/>
          <w:pgMar w:top="1701" w:right="1418" w:bottom="1417" w:left="1418" w:header="851" w:footer="992" w:gutter="0"/>
          <w:cols w:space="0" w:num="1"/>
          <w:titlePg/>
          <w:docGrid w:type="linesAndChars" w:linePitch="596" w:charSpace="804"/>
        </w:sectPr>
      </w:pPr>
    </w:p>
    <w:p>
      <w:pPr>
        <w:widowControl/>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widowControl/>
        <w:spacing w:line="360" w:lineRule="exact"/>
        <w:jc w:val="left"/>
        <w:rPr>
          <w:rFonts w:ascii="宋体" w:hAnsi="宋体" w:eastAsia="宋体" w:cs="宋体"/>
          <w:sz w:val="24"/>
          <w:szCs w:val="24"/>
        </w:rPr>
      </w:pPr>
    </w:p>
    <w:p>
      <w:pPr>
        <w:overflowPunct w:val="0"/>
        <w:snapToGrid w:val="0"/>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2022年“楚怡杯”湖南省职业院校</w:t>
      </w:r>
      <w:r>
        <w:rPr>
          <w:rFonts w:hint="eastAsia" w:ascii="方正小标宋简体" w:hAnsi="方正小标宋简体" w:eastAsia="方正小标宋简体" w:cs="方正小标宋简体"/>
          <w:sz w:val="44"/>
          <w:szCs w:val="44"/>
        </w:rPr>
        <w:t>教师职业</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能力竞赛教学能力比赛</w:t>
      </w:r>
      <w:r>
        <w:rPr>
          <w:rFonts w:hint="eastAsia" w:ascii="方正小标宋简体" w:hAnsi="方正小标宋简体" w:eastAsia="方正小标宋简体" w:cs="方正小标宋简体"/>
          <w:spacing w:val="-8"/>
          <w:sz w:val="44"/>
          <w:szCs w:val="44"/>
        </w:rPr>
        <w:t>评分指标</w:t>
      </w:r>
    </w:p>
    <w:p>
      <w:pPr>
        <w:widowControl/>
        <w:jc w:val="left"/>
        <w:rPr>
          <w:rFonts w:ascii="宋体" w:hAnsi="宋体" w:eastAsia="宋体" w:cs="Times New Roman"/>
          <w:sz w:val="32"/>
          <w:szCs w:val="32"/>
        </w:rPr>
      </w:pPr>
    </w:p>
    <w:p>
      <w:pPr>
        <w:overflowPunct w:val="0"/>
        <w:rPr>
          <w:rFonts w:ascii="宋体" w:hAnsi="宋体" w:eastAsia="宋体" w:cs="Times New Roman"/>
          <w:sz w:val="32"/>
        </w:rPr>
      </w:pPr>
      <w:r>
        <w:rPr>
          <w:rFonts w:hint="eastAsia" w:ascii="宋体" w:hAnsi="宋体" w:eastAsia="宋体" w:cs="Times New Roman"/>
          <w:sz w:val="32"/>
        </w:rPr>
        <w:t xml:space="preserve">  一、公共基础课程组</w:t>
      </w:r>
    </w:p>
    <w:tbl>
      <w:tblPr>
        <w:tblStyle w:val="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874" w:type="dxa"/>
            <w:shd w:val="clear" w:color="auto" w:fill="auto"/>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评价</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指标</w:t>
            </w:r>
          </w:p>
        </w:tc>
        <w:tc>
          <w:tcPr>
            <w:tcW w:w="580" w:type="dxa"/>
            <w:shd w:val="clear" w:color="auto" w:fill="auto"/>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分</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值</w:t>
            </w:r>
          </w:p>
        </w:tc>
        <w:tc>
          <w:tcPr>
            <w:tcW w:w="7721" w:type="dxa"/>
            <w:shd w:val="clear" w:color="auto" w:fill="auto"/>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874"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目标</w:t>
            </w:r>
          </w:p>
          <w:p>
            <w:pPr>
              <w:widowControl/>
              <w:spacing w:line="360" w:lineRule="exact"/>
              <w:jc w:val="center"/>
              <w:rPr>
                <w:rFonts w:ascii="宋体" w:hAnsi="宋体" w:eastAsia="宋体" w:cs="宋体"/>
                <w:bCs/>
                <w:sz w:val="24"/>
                <w:szCs w:val="24"/>
              </w:rPr>
            </w:pPr>
            <w:r>
              <w:rPr>
                <w:rFonts w:ascii="宋体" w:hAnsi="宋体" w:eastAsia="宋体" w:cs="宋体"/>
                <w:bCs/>
                <w:sz w:val="24"/>
                <w:szCs w:val="24"/>
              </w:rPr>
              <w:t>与</w:t>
            </w:r>
          </w:p>
          <w:p>
            <w:pPr>
              <w:widowControl/>
              <w:spacing w:line="360" w:lineRule="exact"/>
              <w:jc w:val="center"/>
              <w:rPr>
                <w:rFonts w:ascii="宋体" w:hAnsi="宋体" w:eastAsia="宋体" w:cs="宋体"/>
                <w:bCs/>
                <w:sz w:val="24"/>
                <w:szCs w:val="24"/>
              </w:rPr>
            </w:pPr>
            <w:r>
              <w:rPr>
                <w:rFonts w:ascii="宋体" w:hAnsi="宋体" w:eastAsia="宋体" w:cs="宋体"/>
                <w:bCs/>
                <w:sz w:val="24"/>
                <w:szCs w:val="24"/>
              </w:rPr>
              <w:t>学情</w:t>
            </w:r>
          </w:p>
        </w:tc>
        <w:tc>
          <w:tcPr>
            <w:tcW w:w="580"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20</w:t>
            </w:r>
          </w:p>
        </w:tc>
        <w:tc>
          <w:tcPr>
            <w:tcW w:w="7721" w:type="dxa"/>
            <w:shd w:val="clear" w:color="auto" w:fill="auto"/>
            <w:vAlign w:val="center"/>
          </w:tcPr>
          <w:p>
            <w:pPr>
              <w:widowControl/>
              <w:spacing w:line="360" w:lineRule="exact"/>
              <w:jc w:val="left"/>
              <w:rPr>
                <w:rFonts w:ascii="宋体" w:hAnsi="宋体" w:eastAsia="宋体" w:cs="宋体"/>
                <w:bCs/>
                <w:sz w:val="24"/>
                <w:szCs w:val="24"/>
              </w:rPr>
            </w:pPr>
            <w:r>
              <w:rPr>
                <w:rFonts w:ascii="宋体" w:hAnsi="宋体" w:eastAsia="宋体" w:cs="宋体"/>
                <w:bCs/>
                <w:sz w:val="24"/>
                <w:szCs w:val="24"/>
              </w:rPr>
              <w:t>1.适应新时代对技术技能人才培养的新要求，</w:t>
            </w:r>
            <w:r>
              <w:rPr>
                <w:rFonts w:hint="eastAsia" w:ascii="宋体" w:hAnsi="宋体" w:eastAsia="宋体" w:cs="宋体"/>
                <w:bCs/>
                <w:sz w:val="24"/>
                <w:szCs w:val="24"/>
              </w:rPr>
              <w:t>作品应</w:t>
            </w:r>
            <w:r>
              <w:rPr>
                <w:rFonts w:ascii="宋体" w:hAnsi="宋体" w:eastAsia="宋体" w:cs="宋体"/>
                <w:bCs/>
                <w:sz w:val="24"/>
                <w:szCs w:val="24"/>
              </w:rPr>
              <w:t>符合</w:t>
            </w:r>
            <w:r>
              <w:rPr>
                <w:rFonts w:hint="eastAsia" w:ascii="宋体" w:hAnsi="宋体" w:eastAsia="宋体" w:cs="宋体"/>
                <w:bCs/>
                <w:sz w:val="24"/>
                <w:szCs w:val="24"/>
              </w:rPr>
              <w:t>教育部发布的公共基础</w:t>
            </w:r>
            <w:r>
              <w:rPr>
                <w:rFonts w:ascii="宋体" w:hAnsi="宋体" w:eastAsia="宋体" w:cs="宋体"/>
                <w:bCs/>
                <w:sz w:val="24"/>
                <w:szCs w:val="24"/>
              </w:rPr>
              <w:t>课程标准有关要求，紧扣</w:t>
            </w:r>
            <w:r>
              <w:rPr>
                <w:rFonts w:hint="eastAsia" w:ascii="宋体" w:hAnsi="宋体" w:eastAsia="宋体" w:cs="宋体"/>
                <w:bCs/>
                <w:sz w:val="24"/>
                <w:szCs w:val="24"/>
              </w:rPr>
              <w:t>学校</w:t>
            </w:r>
            <w:r>
              <w:rPr>
                <w:rFonts w:ascii="宋体" w:hAnsi="宋体" w:eastAsia="宋体" w:cs="宋体"/>
                <w:bCs/>
                <w:sz w:val="24"/>
                <w:szCs w:val="24"/>
              </w:rPr>
              <w:t>专业人才培养方案和</w:t>
            </w:r>
            <w:r>
              <w:rPr>
                <w:rFonts w:hint="eastAsia" w:ascii="宋体" w:hAnsi="宋体" w:eastAsia="宋体" w:cs="宋体"/>
                <w:bCs/>
                <w:sz w:val="24"/>
                <w:szCs w:val="24"/>
              </w:rPr>
              <w:t>课程教学安排</w:t>
            </w:r>
            <w:r>
              <w:rPr>
                <w:rFonts w:ascii="宋体" w:hAnsi="宋体" w:eastAsia="宋体" w:cs="宋体"/>
                <w:bCs/>
                <w:sz w:val="24"/>
                <w:szCs w:val="24"/>
              </w:rPr>
              <w:t>，强调培育学生的学习能力、信息素养</w:t>
            </w:r>
            <w:r>
              <w:rPr>
                <w:rFonts w:hint="eastAsia" w:ascii="宋体" w:hAnsi="宋体" w:eastAsia="宋体" w:cs="宋体"/>
                <w:bCs/>
                <w:sz w:val="24"/>
                <w:szCs w:val="24"/>
              </w:rPr>
              <w:t>、精益求精的工匠精神和爱岗敬业的劳动态度。</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2.教学目标表述明确</w:t>
            </w:r>
            <w:r>
              <w:rPr>
                <w:rFonts w:hint="eastAsia" w:ascii="宋体" w:hAnsi="宋体" w:eastAsia="宋体" w:cs="宋体"/>
                <w:bCs/>
                <w:sz w:val="24"/>
                <w:szCs w:val="24"/>
              </w:rPr>
              <w:t>、相互关联</w:t>
            </w:r>
            <w:r>
              <w:rPr>
                <w:rFonts w:ascii="宋体" w:hAnsi="宋体" w:eastAsia="宋体" w:cs="宋体"/>
                <w:bCs/>
                <w:sz w:val="24"/>
                <w:szCs w:val="24"/>
              </w:rPr>
              <w:t>，重点突出、可评可测。</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客观</w:t>
            </w:r>
            <w:r>
              <w:rPr>
                <w:rFonts w:ascii="宋体" w:hAnsi="宋体" w:eastAsia="宋体" w:cs="宋体"/>
                <w:bCs/>
                <w:sz w:val="24"/>
                <w:szCs w:val="24"/>
              </w:rPr>
              <w:t>分析学生知识基础、认知能力</w:t>
            </w:r>
            <w:r>
              <w:rPr>
                <w:rFonts w:hint="eastAsia" w:ascii="宋体" w:hAnsi="宋体" w:eastAsia="宋体" w:cs="宋体"/>
                <w:bCs/>
                <w:sz w:val="24"/>
                <w:szCs w:val="24"/>
              </w:rPr>
              <w:t>、学习特点、专业特性</w:t>
            </w:r>
            <w:r>
              <w:rPr>
                <w:rFonts w:ascii="宋体" w:hAnsi="宋体" w:eastAsia="宋体" w:cs="宋体"/>
                <w:bCs/>
                <w:sz w:val="24"/>
                <w:szCs w:val="24"/>
              </w:rPr>
              <w:t>等，详实</w:t>
            </w:r>
            <w:r>
              <w:rPr>
                <w:rFonts w:hint="eastAsia" w:ascii="宋体" w:hAnsi="宋体" w:eastAsia="宋体" w:cs="宋体"/>
                <w:bCs/>
                <w:sz w:val="24"/>
                <w:szCs w:val="24"/>
              </w:rPr>
              <w:t>反映学生整体与个体情况</w:t>
            </w:r>
            <w:r>
              <w:rPr>
                <w:rFonts w:ascii="宋体" w:hAnsi="宋体" w:eastAsia="宋体" w:cs="宋体"/>
                <w:bCs/>
                <w:sz w:val="24"/>
                <w:szCs w:val="24"/>
              </w:rPr>
              <w:t>数据，</w:t>
            </w:r>
            <w:r>
              <w:rPr>
                <w:rFonts w:hint="eastAsia" w:ascii="宋体" w:hAnsi="宋体" w:eastAsia="宋体" w:cs="宋体"/>
                <w:bCs/>
                <w:sz w:val="24"/>
                <w:szCs w:val="24"/>
              </w:rPr>
              <w:t>准确预判教学</w:t>
            </w:r>
            <w:r>
              <w:rPr>
                <w:rFonts w:ascii="宋体" w:hAnsi="宋体" w:eastAsia="宋体" w:cs="宋体"/>
                <w:bCs/>
                <w:sz w:val="24"/>
                <w:szCs w:val="24"/>
              </w:rPr>
              <w:t>难点</w:t>
            </w:r>
            <w:r>
              <w:rPr>
                <w:rFonts w:hint="eastAsia" w:ascii="宋体" w:hAnsi="宋体" w:eastAsia="宋体" w:cs="宋体"/>
                <w:bCs/>
                <w:sz w:val="24"/>
                <w:szCs w:val="24"/>
              </w:rPr>
              <w:t>及其掌握可能</w:t>
            </w:r>
            <w:r>
              <w:rPr>
                <w:rFonts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874"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内容</w:t>
            </w:r>
          </w:p>
          <w:p>
            <w:pPr>
              <w:widowControl/>
              <w:spacing w:line="360" w:lineRule="exact"/>
              <w:jc w:val="center"/>
              <w:rPr>
                <w:rFonts w:ascii="宋体" w:hAnsi="宋体" w:eastAsia="宋体" w:cs="宋体"/>
                <w:bCs/>
                <w:sz w:val="24"/>
                <w:szCs w:val="24"/>
              </w:rPr>
            </w:pPr>
            <w:r>
              <w:rPr>
                <w:rFonts w:ascii="宋体" w:hAnsi="宋体" w:eastAsia="宋体" w:cs="宋体"/>
                <w:bCs/>
                <w:sz w:val="24"/>
                <w:szCs w:val="24"/>
              </w:rPr>
              <w:t>与</w:t>
            </w:r>
          </w:p>
          <w:p>
            <w:pPr>
              <w:widowControl/>
              <w:spacing w:line="360" w:lineRule="exact"/>
              <w:jc w:val="center"/>
              <w:rPr>
                <w:rFonts w:ascii="宋体" w:hAnsi="宋体" w:eastAsia="宋体" w:cs="宋体"/>
                <w:bCs/>
                <w:sz w:val="24"/>
                <w:szCs w:val="24"/>
              </w:rPr>
            </w:pPr>
            <w:r>
              <w:rPr>
                <w:rFonts w:ascii="宋体" w:hAnsi="宋体" w:eastAsia="宋体" w:cs="宋体"/>
                <w:bCs/>
                <w:sz w:val="24"/>
                <w:szCs w:val="24"/>
              </w:rPr>
              <w:t>策略</w:t>
            </w:r>
          </w:p>
        </w:tc>
        <w:tc>
          <w:tcPr>
            <w:tcW w:w="580"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20</w:t>
            </w:r>
          </w:p>
        </w:tc>
        <w:tc>
          <w:tcPr>
            <w:tcW w:w="7721" w:type="dxa"/>
            <w:shd w:val="clear" w:color="auto" w:fill="auto"/>
            <w:vAlign w:val="center"/>
          </w:tcPr>
          <w:p>
            <w:pPr>
              <w:widowControl/>
              <w:spacing w:line="360" w:lineRule="exact"/>
              <w:jc w:val="left"/>
              <w:rPr>
                <w:rFonts w:ascii="宋体" w:hAnsi="宋体" w:eastAsia="宋体" w:cs="宋体"/>
                <w:bCs/>
                <w:sz w:val="24"/>
                <w:szCs w:val="24"/>
              </w:rPr>
            </w:pPr>
            <w:r>
              <w:rPr>
                <w:rFonts w:ascii="宋体" w:hAnsi="宋体" w:eastAsia="宋体" w:cs="宋体"/>
                <w:bCs/>
                <w:sz w:val="24"/>
                <w:szCs w:val="24"/>
              </w:rPr>
              <w:t>1.思政课程</w:t>
            </w:r>
            <w:r>
              <w:rPr>
                <w:rFonts w:hint="eastAsia" w:ascii="宋体" w:hAnsi="宋体" w:eastAsia="宋体" w:cs="宋体"/>
                <w:bCs/>
                <w:sz w:val="24"/>
                <w:szCs w:val="24"/>
              </w:rPr>
              <w:t>按照“八个相统一”要求扎实推进创优建设</w:t>
            </w:r>
            <w:r>
              <w:rPr>
                <w:rFonts w:ascii="宋体" w:hAnsi="宋体" w:eastAsia="宋体" w:cs="宋体"/>
                <w:bCs/>
                <w:sz w:val="24"/>
                <w:szCs w:val="24"/>
              </w:rPr>
              <w:t>，其他课程注重</w:t>
            </w:r>
            <w:r>
              <w:rPr>
                <w:rFonts w:hint="eastAsia" w:ascii="宋体" w:hAnsi="宋体" w:eastAsia="宋体" w:cs="宋体"/>
                <w:bCs/>
                <w:sz w:val="24"/>
                <w:szCs w:val="24"/>
              </w:rPr>
              <w:t>落实课程思政要求；联系时代发展和社会生活，结合课程特点有机融入劳动教育内容，融通专业（技能）课程和职业能力，培育创新意识</w:t>
            </w:r>
            <w:r>
              <w:rPr>
                <w:rFonts w:ascii="宋体" w:hAnsi="宋体" w:eastAsia="宋体" w:cs="宋体"/>
                <w:bCs/>
                <w:sz w:val="24"/>
                <w:szCs w:val="24"/>
              </w:rPr>
              <w:t>。</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2.教学内容有效支撑教学目标的实现，选择科学严谨</w:t>
            </w:r>
            <w:r>
              <w:rPr>
                <w:rFonts w:hint="eastAsia" w:ascii="宋体" w:hAnsi="宋体" w:eastAsia="宋体" w:cs="宋体"/>
                <w:bCs/>
                <w:sz w:val="24"/>
                <w:szCs w:val="24"/>
              </w:rPr>
              <w:t>、</w:t>
            </w:r>
            <w:r>
              <w:rPr>
                <w:rFonts w:ascii="宋体" w:hAnsi="宋体" w:eastAsia="宋体" w:cs="宋体"/>
                <w:bCs/>
                <w:sz w:val="24"/>
                <w:szCs w:val="24"/>
              </w:rPr>
              <w:t>容量适</w:t>
            </w:r>
            <w:r>
              <w:rPr>
                <w:rFonts w:hint="eastAsia" w:ascii="宋体" w:hAnsi="宋体" w:eastAsia="宋体" w:cs="宋体"/>
                <w:bCs/>
                <w:sz w:val="24"/>
                <w:szCs w:val="24"/>
              </w:rPr>
              <w:t>度</w:t>
            </w:r>
            <w:r>
              <w:rPr>
                <w:rFonts w:ascii="宋体" w:hAnsi="宋体" w:eastAsia="宋体" w:cs="宋体"/>
                <w:bCs/>
                <w:sz w:val="24"/>
                <w:szCs w:val="24"/>
              </w:rPr>
              <w:t>，安排</w:t>
            </w:r>
            <w:r>
              <w:rPr>
                <w:rFonts w:hint="eastAsia" w:ascii="宋体" w:hAnsi="宋体" w:eastAsia="宋体" w:cs="宋体"/>
                <w:bCs/>
                <w:sz w:val="24"/>
                <w:szCs w:val="24"/>
              </w:rPr>
              <w:t>合理、</w:t>
            </w:r>
            <w:r>
              <w:rPr>
                <w:rFonts w:ascii="宋体" w:hAnsi="宋体" w:eastAsia="宋体" w:cs="宋体"/>
                <w:bCs/>
                <w:sz w:val="24"/>
                <w:szCs w:val="24"/>
              </w:rPr>
              <w:t>衔接有序、结构清晰</w:t>
            </w:r>
            <w:r>
              <w:rPr>
                <w:rFonts w:hint="eastAsia" w:ascii="宋体" w:hAnsi="宋体" w:eastAsia="宋体" w:cs="宋体"/>
                <w:bCs/>
                <w:sz w:val="24"/>
                <w:szCs w:val="24"/>
              </w:rPr>
              <w:t>。</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3.教材选用</w:t>
            </w:r>
            <w:r>
              <w:rPr>
                <w:rFonts w:hint="eastAsia" w:ascii="宋体" w:hAnsi="宋体" w:eastAsia="宋体" w:cs="宋体"/>
                <w:bCs/>
                <w:sz w:val="24"/>
                <w:szCs w:val="24"/>
              </w:rPr>
              <w:t>、使用</w:t>
            </w:r>
            <w:r>
              <w:rPr>
                <w:rFonts w:ascii="宋体" w:hAnsi="宋体" w:eastAsia="宋体" w:cs="宋体"/>
                <w:bCs/>
                <w:sz w:val="24"/>
                <w:szCs w:val="24"/>
              </w:rPr>
              <w:t>符合</w:t>
            </w:r>
            <w:r>
              <w:rPr>
                <w:rFonts w:hint="eastAsia" w:ascii="宋体" w:hAnsi="宋体" w:eastAsia="宋体" w:cs="宋体"/>
                <w:bCs/>
                <w:sz w:val="24"/>
                <w:szCs w:val="24"/>
              </w:rPr>
              <w:t>《职业院校教材管理办法》等文件规定和要求，</w:t>
            </w:r>
            <w:r>
              <w:rPr>
                <w:rFonts w:ascii="宋体" w:hAnsi="宋体" w:eastAsia="宋体" w:cs="宋体"/>
                <w:bCs/>
                <w:sz w:val="24"/>
                <w:szCs w:val="24"/>
              </w:rPr>
              <w:t>配套提供丰富、优质学习资源，教案完整、规范、简明、真实。</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4.教学过程系统优化，流程环节构思得当，技术</w:t>
            </w:r>
            <w:r>
              <w:rPr>
                <w:rFonts w:hint="eastAsia" w:ascii="宋体" w:hAnsi="宋体" w:eastAsia="宋体" w:cs="宋体"/>
                <w:bCs/>
                <w:sz w:val="24"/>
                <w:szCs w:val="24"/>
              </w:rPr>
              <w:t>应用预想</w:t>
            </w:r>
            <w:r>
              <w:rPr>
                <w:rFonts w:ascii="宋体" w:hAnsi="宋体" w:eastAsia="宋体" w:cs="宋体"/>
                <w:bCs/>
                <w:sz w:val="24"/>
                <w:szCs w:val="24"/>
              </w:rPr>
              <w:t>合理，方法手段</w:t>
            </w:r>
            <w:r>
              <w:rPr>
                <w:rFonts w:hint="eastAsia" w:ascii="宋体" w:hAnsi="宋体" w:eastAsia="宋体" w:cs="宋体"/>
                <w:bCs/>
                <w:sz w:val="24"/>
                <w:szCs w:val="24"/>
              </w:rPr>
              <w:t>设计</w:t>
            </w:r>
            <w:r>
              <w:rPr>
                <w:rFonts w:ascii="宋体" w:hAnsi="宋体" w:eastAsia="宋体" w:cs="宋体"/>
                <w:bCs/>
                <w:sz w:val="24"/>
                <w:szCs w:val="24"/>
              </w:rPr>
              <w:t>恰当，评价考核</w:t>
            </w:r>
            <w:r>
              <w:rPr>
                <w:rFonts w:hint="eastAsia" w:ascii="宋体" w:hAnsi="宋体" w:eastAsia="宋体" w:cs="宋体"/>
                <w:bCs/>
                <w:sz w:val="24"/>
                <w:szCs w:val="24"/>
              </w:rPr>
              <w:t>科学有效</w:t>
            </w:r>
            <w:r>
              <w:rPr>
                <w:rFonts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jc w:val="center"/>
        </w:trPr>
        <w:tc>
          <w:tcPr>
            <w:tcW w:w="874"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实施</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与</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成效</w:t>
            </w:r>
          </w:p>
        </w:tc>
        <w:tc>
          <w:tcPr>
            <w:tcW w:w="580"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30</w:t>
            </w:r>
          </w:p>
        </w:tc>
        <w:tc>
          <w:tcPr>
            <w:tcW w:w="7721" w:type="dxa"/>
            <w:shd w:val="clear" w:color="auto" w:fill="auto"/>
            <w:vAlign w:val="center"/>
          </w:tcPr>
          <w:p>
            <w:pPr>
              <w:widowControl/>
              <w:spacing w:line="360" w:lineRule="exact"/>
              <w:jc w:val="left"/>
              <w:rPr>
                <w:rFonts w:ascii="宋体" w:hAnsi="宋体" w:eastAsia="宋体" w:cs="宋体"/>
                <w:bCs/>
                <w:sz w:val="24"/>
                <w:szCs w:val="24"/>
              </w:rPr>
            </w:pPr>
            <w:r>
              <w:rPr>
                <w:rFonts w:ascii="宋体" w:hAnsi="宋体" w:eastAsia="宋体" w:cs="宋体"/>
                <w:bCs/>
                <w:sz w:val="24"/>
                <w:szCs w:val="24"/>
              </w:rPr>
              <w:t>1.体现先进教育思想和教学理念，遵循学生认知规律</w:t>
            </w:r>
            <w:r>
              <w:rPr>
                <w:rFonts w:hint="eastAsia" w:ascii="宋体" w:hAnsi="宋体" w:eastAsia="宋体" w:cs="宋体"/>
                <w:bCs/>
                <w:sz w:val="24"/>
                <w:szCs w:val="24"/>
              </w:rPr>
              <w:t>，符合课内外</w:t>
            </w:r>
            <w:r>
              <w:rPr>
                <w:rFonts w:ascii="宋体" w:hAnsi="宋体" w:eastAsia="宋体" w:cs="宋体"/>
                <w:bCs/>
                <w:sz w:val="24"/>
                <w:szCs w:val="24"/>
              </w:rPr>
              <w:t>教学实际。</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2.按照</w:t>
            </w:r>
            <w:r>
              <w:rPr>
                <w:rFonts w:hint="eastAsia" w:ascii="宋体" w:hAnsi="宋体" w:eastAsia="宋体" w:cs="宋体"/>
                <w:bCs/>
                <w:sz w:val="24"/>
                <w:szCs w:val="24"/>
              </w:rPr>
              <w:t>教学设计</w:t>
            </w:r>
            <w:r>
              <w:rPr>
                <w:rFonts w:ascii="宋体" w:hAnsi="宋体" w:eastAsia="宋体" w:cs="宋体"/>
                <w:bCs/>
                <w:sz w:val="24"/>
                <w:szCs w:val="24"/>
              </w:rPr>
              <w:t>实施教学，</w:t>
            </w:r>
            <w:r>
              <w:rPr>
                <w:rFonts w:hint="eastAsia" w:ascii="宋体" w:hAnsi="宋体" w:eastAsia="宋体" w:cs="宋体"/>
                <w:bCs/>
                <w:sz w:val="24"/>
                <w:szCs w:val="24"/>
              </w:rPr>
              <w:t>关注</w:t>
            </w:r>
            <w:r>
              <w:rPr>
                <w:rFonts w:ascii="宋体" w:hAnsi="宋体" w:eastAsia="宋体" w:cs="宋体"/>
                <w:bCs/>
                <w:sz w:val="24"/>
                <w:szCs w:val="24"/>
              </w:rPr>
              <w:t>重点</w:t>
            </w:r>
            <w:r>
              <w:rPr>
                <w:rFonts w:hint="eastAsia" w:ascii="宋体" w:hAnsi="宋体" w:eastAsia="宋体" w:cs="宋体"/>
                <w:bCs/>
                <w:sz w:val="24"/>
                <w:szCs w:val="24"/>
              </w:rPr>
              <w:t>、</w:t>
            </w:r>
            <w:r>
              <w:rPr>
                <w:rFonts w:ascii="宋体" w:hAnsi="宋体" w:eastAsia="宋体" w:cs="宋体"/>
                <w:bCs/>
                <w:sz w:val="24"/>
                <w:szCs w:val="24"/>
              </w:rPr>
              <w:t>难点的解决，能够针对学习反馈及时调整教学</w:t>
            </w:r>
            <w:r>
              <w:rPr>
                <w:rFonts w:hint="eastAsia" w:ascii="宋体" w:hAnsi="宋体" w:eastAsia="宋体" w:cs="宋体"/>
                <w:bCs/>
                <w:sz w:val="24"/>
                <w:szCs w:val="24"/>
              </w:rPr>
              <w:t>，</w:t>
            </w:r>
            <w:r>
              <w:rPr>
                <w:rFonts w:ascii="宋体" w:hAnsi="宋体" w:eastAsia="宋体" w:cs="宋体"/>
                <w:bCs/>
                <w:sz w:val="24"/>
                <w:szCs w:val="24"/>
              </w:rPr>
              <w:t>突出学生中心，</w:t>
            </w:r>
            <w:r>
              <w:rPr>
                <w:rFonts w:hint="eastAsia" w:ascii="宋体" w:hAnsi="宋体" w:eastAsia="宋体" w:cs="宋体"/>
                <w:bCs/>
                <w:sz w:val="24"/>
                <w:szCs w:val="24"/>
              </w:rPr>
              <w:t>实行因材施教</w:t>
            </w:r>
            <w:r>
              <w:rPr>
                <w:rFonts w:ascii="宋体" w:hAnsi="宋体" w:eastAsia="宋体" w:cs="宋体"/>
                <w:bCs/>
                <w:sz w:val="24"/>
                <w:szCs w:val="24"/>
              </w:rPr>
              <w:t>。</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3.教学环境满足需求，教学活动开展有序，教学互动深入</w:t>
            </w:r>
            <w:r>
              <w:rPr>
                <w:rFonts w:hint="eastAsia" w:ascii="宋体" w:hAnsi="宋体" w:eastAsia="宋体" w:cs="宋体"/>
                <w:bCs/>
                <w:sz w:val="24"/>
                <w:szCs w:val="24"/>
              </w:rPr>
              <w:t>有效</w:t>
            </w:r>
            <w:r>
              <w:rPr>
                <w:rFonts w:ascii="宋体" w:hAnsi="宋体" w:eastAsia="宋体" w:cs="宋体"/>
                <w:bCs/>
                <w:sz w:val="24"/>
                <w:szCs w:val="24"/>
              </w:rPr>
              <w:t>，教学气氛生动活泼。</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4.关注教与学</w:t>
            </w:r>
            <w:r>
              <w:rPr>
                <w:rFonts w:hint="eastAsia" w:ascii="宋体" w:hAnsi="宋体" w:eastAsia="宋体" w:cs="宋体"/>
                <w:bCs/>
                <w:sz w:val="24"/>
                <w:szCs w:val="24"/>
              </w:rPr>
              <w:t>行为</w:t>
            </w:r>
            <w:r>
              <w:rPr>
                <w:rFonts w:ascii="宋体" w:hAnsi="宋体" w:eastAsia="宋体" w:cs="宋体"/>
                <w:bCs/>
                <w:sz w:val="24"/>
                <w:szCs w:val="24"/>
              </w:rPr>
              <w:t>采集，针对目标要求开展考核与评价。</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5.合理运用信息技术、</w:t>
            </w:r>
            <w:r>
              <w:rPr>
                <w:rFonts w:hint="eastAsia" w:ascii="宋体" w:hAnsi="宋体" w:eastAsia="宋体" w:cs="宋体"/>
                <w:bCs/>
                <w:sz w:val="24"/>
                <w:szCs w:val="24"/>
              </w:rPr>
              <w:t>教学</w:t>
            </w:r>
            <w:r>
              <w:rPr>
                <w:rFonts w:ascii="宋体" w:hAnsi="宋体" w:eastAsia="宋体" w:cs="宋体"/>
                <w:bCs/>
                <w:sz w:val="24"/>
                <w:szCs w:val="24"/>
              </w:rPr>
              <w:t>资源、设施</w:t>
            </w:r>
            <w:r>
              <w:rPr>
                <w:rFonts w:hint="eastAsia" w:ascii="宋体" w:hAnsi="宋体" w:eastAsia="宋体" w:cs="宋体"/>
                <w:bCs/>
                <w:sz w:val="24"/>
                <w:szCs w:val="24"/>
              </w:rPr>
              <w:t>设备</w:t>
            </w:r>
            <w:r>
              <w:rPr>
                <w:rFonts w:ascii="宋体" w:hAnsi="宋体" w:eastAsia="宋体" w:cs="宋体"/>
                <w:bCs/>
                <w:sz w:val="24"/>
                <w:szCs w:val="24"/>
              </w:rPr>
              <w:t>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874"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教学</w:t>
            </w:r>
          </w:p>
          <w:p>
            <w:pPr>
              <w:widowControl/>
              <w:spacing w:line="360" w:lineRule="exact"/>
              <w:jc w:val="center"/>
              <w:rPr>
                <w:rFonts w:ascii="宋体" w:hAnsi="宋体" w:eastAsia="宋体" w:cs="宋体"/>
                <w:bCs/>
                <w:sz w:val="24"/>
                <w:szCs w:val="24"/>
              </w:rPr>
            </w:pPr>
            <w:r>
              <w:rPr>
                <w:rFonts w:ascii="宋体" w:hAnsi="宋体" w:eastAsia="宋体" w:cs="宋体"/>
                <w:bCs/>
                <w:sz w:val="24"/>
                <w:szCs w:val="24"/>
              </w:rPr>
              <w:t>素养</w:t>
            </w:r>
          </w:p>
        </w:tc>
        <w:tc>
          <w:tcPr>
            <w:tcW w:w="580"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15</w:t>
            </w:r>
          </w:p>
        </w:tc>
        <w:tc>
          <w:tcPr>
            <w:tcW w:w="7721" w:type="dxa"/>
            <w:shd w:val="clear" w:color="auto" w:fill="auto"/>
            <w:vAlign w:val="center"/>
          </w:tcPr>
          <w:p>
            <w:pPr>
              <w:widowControl/>
              <w:spacing w:line="360" w:lineRule="exact"/>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充分展现新时代职业院校教师良好的师德师风、教学技能和信息素养，发挥教学团队协作优势；老中青传帮带效果显著。</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2.教师课堂教学态度认真、严谨规范、</w:t>
            </w:r>
            <w:r>
              <w:rPr>
                <w:rFonts w:hint="eastAsia" w:ascii="宋体" w:hAnsi="宋体" w:eastAsia="宋体" w:cs="宋体"/>
                <w:bCs/>
                <w:sz w:val="24"/>
                <w:szCs w:val="24"/>
              </w:rPr>
              <w:t>表述清晰、</w:t>
            </w:r>
            <w:r>
              <w:rPr>
                <w:rFonts w:ascii="宋体" w:hAnsi="宋体" w:eastAsia="宋体" w:cs="宋体"/>
                <w:bCs/>
                <w:sz w:val="24"/>
                <w:szCs w:val="24"/>
              </w:rPr>
              <w:t>亲和力强。</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教学实施报告</w:t>
            </w:r>
            <w:r>
              <w:rPr>
                <w:rFonts w:ascii="宋体" w:hAnsi="宋体" w:eastAsia="宋体" w:cs="宋体"/>
                <w:bCs/>
                <w:sz w:val="24"/>
                <w:szCs w:val="24"/>
              </w:rPr>
              <w:t>客观记载、真实反映、深刻反思教与学的成效与不足，提出教学设计与课堂实施的改进设想。</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4.决赛现场</w:t>
            </w:r>
            <w:r>
              <w:rPr>
                <w:rFonts w:hint="eastAsia" w:ascii="宋体" w:hAnsi="宋体" w:eastAsia="宋体" w:cs="宋体"/>
                <w:bCs/>
                <w:sz w:val="24"/>
                <w:szCs w:val="24"/>
              </w:rPr>
              <w:t>的内容介绍、教学展示和回答提问</w:t>
            </w:r>
            <w:r>
              <w:rPr>
                <w:rFonts w:ascii="宋体" w:hAnsi="宋体" w:eastAsia="宋体" w:cs="宋体"/>
                <w:bCs/>
                <w:sz w:val="24"/>
                <w:szCs w:val="24"/>
              </w:rPr>
              <w:t>聚焦主题、科学准确、思路清晰、逻辑严谨、研究深入、</w:t>
            </w:r>
            <w:r>
              <w:rPr>
                <w:rFonts w:hint="eastAsia" w:ascii="宋体" w:hAnsi="宋体" w:eastAsia="宋体" w:cs="宋体"/>
                <w:bCs/>
                <w:sz w:val="24"/>
                <w:szCs w:val="24"/>
              </w:rPr>
              <w:t>手段得当、简洁明了、</w:t>
            </w:r>
            <w:r>
              <w:rPr>
                <w:rFonts w:ascii="宋体" w:hAnsi="宋体" w:eastAsia="宋体" w:cs="宋体"/>
                <w:bCs/>
                <w:sz w:val="24"/>
                <w:szCs w:val="24"/>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874"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特色</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创新</w:t>
            </w:r>
          </w:p>
        </w:tc>
        <w:tc>
          <w:tcPr>
            <w:tcW w:w="580"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15</w:t>
            </w:r>
          </w:p>
        </w:tc>
        <w:tc>
          <w:tcPr>
            <w:tcW w:w="7721" w:type="dxa"/>
            <w:shd w:val="clear" w:color="auto" w:fill="auto"/>
            <w:vAlign w:val="center"/>
          </w:tcPr>
          <w:p>
            <w:pPr>
              <w:widowControl/>
              <w:spacing w:line="360" w:lineRule="exact"/>
              <w:jc w:val="left"/>
              <w:rPr>
                <w:rFonts w:ascii="宋体" w:hAnsi="宋体" w:eastAsia="宋体" w:cs="宋体"/>
                <w:bCs/>
                <w:sz w:val="24"/>
                <w:szCs w:val="24"/>
              </w:rPr>
            </w:pPr>
            <w:r>
              <w:rPr>
                <w:rFonts w:ascii="宋体" w:hAnsi="宋体" w:eastAsia="宋体" w:cs="宋体"/>
                <w:bCs/>
                <w:sz w:val="24"/>
                <w:szCs w:val="24"/>
              </w:rPr>
              <w:t>1.能够引导学生树立正确的理想信念、学会正确的思维方法</w:t>
            </w:r>
            <w:r>
              <w:rPr>
                <w:rFonts w:hint="eastAsia" w:ascii="宋体" w:hAnsi="宋体" w:eastAsia="宋体" w:cs="宋体"/>
                <w:bCs/>
                <w:sz w:val="24"/>
                <w:szCs w:val="24"/>
              </w:rPr>
              <w:t>、培育正确的劳动观念、增强学生职业荣誉感</w:t>
            </w:r>
            <w:r>
              <w:rPr>
                <w:rFonts w:ascii="宋体" w:hAnsi="宋体" w:eastAsia="宋体" w:cs="宋体"/>
                <w:bCs/>
                <w:sz w:val="24"/>
                <w:szCs w:val="24"/>
              </w:rPr>
              <w:t>。</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2.能够创新教学模式，给学生深刻的学习体验。</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3.能够与时俱进地提高信息技术应用能力、教研科研能力。</w:t>
            </w:r>
          </w:p>
          <w:p>
            <w:pPr>
              <w:widowControl/>
              <w:spacing w:line="360" w:lineRule="exact"/>
              <w:jc w:val="left"/>
              <w:rPr>
                <w:rFonts w:ascii="宋体" w:hAnsi="宋体" w:eastAsia="宋体" w:cs="宋体"/>
                <w:bCs/>
                <w:sz w:val="24"/>
                <w:szCs w:val="24"/>
              </w:rPr>
            </w:pPr>
            <w:r>
              <w:rPr>
                <w:rFonts w:hint="eastAsia" w:ascii="宋体" w:hAnsi="宋体" w:eastAsia="宋体" w:cs="宋体"/>
                <w:bCs/>
                <w:sz w:val="24"/>
                <w:szCs w:val="24"/>
              </w:rPr>
              <w:t>4.具有较大借鉴和推广价值。</w:t>
            </w:r>
          </w:p>
        </w:tc>
      </w:tr>
    </w:tbl>
    <w:p>
      <w:pPr>
        <w:widowControl/>
        <w:spacing w:line="360" w:lineRule="exact"/>
        <w:jc w:val="center"/>
        <w:rPr>
          <w:rFonts w:ascii="宋体" w:hAnsi="宋体" w:eastAsia="宋体" w:cs="宋体"/>
          <w:bCs/>
          <w:sz w:val="24"/>
          <w:szCs w:val="24"/>
        </w:rPr>
      </w:pPr>
    </w:p>
    <w:p>
      <w:pPr>
        <w:widowControl/>
        <w:spacing w:line="360" w:lineRule="exact"/>
        <w:rPr>
          <w:rFonts w:ascii="黑体" w:hAnsi="黑体" w:eastAsia="黑体" w:cs="黑体"/>
          <w:sz w:val="32"/>
        </w:rPr>
      </w:pPr>
      <w:r>
        <w:rPr>
          <w:rFonts w:hint="eastAsia" w:ascii="黑体" w:hAnsi="黑体" w:eastAsia="黑体" w:cs="黑体"/>
          <w:sz w:val="32"/>
        </w:rPr>
        <w:t>二、专业课程一（二）组</w:t>
      </w:r>
    </w:p>
    <w:tbl>
      <w:tblPr>
        <w:tblStyle w:val="3"/>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72"/>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821"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评价</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指标</w:t>
            </w:r>
          </w:p>
        </w:tc>
        <w:tc>
          <w:tcPr>
            <w:tcW w:w="572"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分</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值</w:t>
            </w:r>
          </w:p>
        </w:tc>
        <w:tc>
          <w:tcPr>
            <w:tcW w:w="7866"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jc w:val="center"/>
        </w:trPr>
        <w:tc>
          <w:tcPr>
            <w:tcW w:w="821"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目标</w:t>
            </w:r>
          </w:p>
          <w:p>
            <w:pPr>
              <w:widowControl/>
              <w:spacing w:line="360" w:lineRule="exact"/>
              <w:jc w:val="center"/>
              <w:rPr>
                <w:rFonts w:ascii="宋体" w:hAnsi="宋体" w:eastAsia="宋体" w:cs="宋体"/>
                <w:bCs/>
                <w:sz w:val="24"/>
                <w:szCs w:val="24"/>
              </w:rPr>
            </w:pPr>
            <w:r>
              <w:rPr>
                <w:rFonts w:ascii="宋体" w:hAnsi="宋体" w:eastAsia="宋体" w:cs="宋体"/>
                <w:bCs/>
                <w:sz w:val="24"/>
                <w:szCs w:val="24"/>
              </w:rPr>
              <w:t>与</w:t>
            </w:r>
          </w:p>
          <w:p>
            <w:pPr>
              <w:widowControl/>
              <w:spacing w:line="360" w:lineRule="exact"/>
              <w:jc w:val="center"/>
              <w:rPr>
                <w:rFonts w:ascii="宋体" w:hAnsi="宋体" w:eastAsia="宋体" w:cs="宋体"/>
                <w:bCs/>
                <w:sz w:val="24"/>
                <w:szCs w:val="24"/>
                <w:lang w:eastAsia="en-US"/>
              </w:rPr>
            </w:pPr>
            <w:r>
              <w:rPr>
                <w:rFonts w:ascii="宋体" w:hAnsi="宋体" w:eastAsia="宋体" w:cs="宋体"/>
                <w:bCs/>
                <w:sz w:val="24"/>
                <w:szCs w:val="24"/>
              </w:rPr>
              <w:t>学情</w:t>
            </w:r>
          </w:p>
        </w:tc>
        <w:tc>
          <w:tcPr>
            <w:tcW w:w="572"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20</w:t>
            </w:r>
          </w:p>
        </w:tc>
        <w:tc>
          <w:tcPr>
            <w:tcW w:w="7866" w:type="dxa"/>
            <w:shd w:val="clear" w:color="auto" w:fill="auto"/>
            <w:vAlign w:val="center"/>
          </w:tcPr>
          <w:p>
            <w:pPr>
              <w:widowControl/>
              <w:spacing w:line="360" w:lineRule="exact"/>
              <w:jc w:val="left"/>
              <w:rPr>
                <w:rFonts w:ascii="宋体" w:hAnsi="宋体" w:eastAsia="宋体" w:cs="宋体"/>
                <w:bCs/>
                <w:sz w:val="24"/>
                <w:szCs w:val="24"/>
              </w:rPr>
            </w:pPr>
            <w:r>
              <w:rPr>
                <w:rFonts w:ascii="宋体" w:hAnsi="宋体" w:eastAsia="宋体" w:cs="宋体"/>
                <w:bCs/>
                <w:sz w:val="24"/>
                <w:szCs w:val="24"/>
              </w:rPr>
              <w:t>1.适应新时代对</w:t>
            </w:r>
            <w:r>
              <w:rPr>
                <w:rFonts w:hint="eastAsia" w:ascii="宋体" w:hAnsi="宋体" w:eastAsia="宋体" w:cs="宋体"/>
                <w:bCs/>
                <w:sz w:val="24"/>
                <w:szCs w:val="24"/>
              </w:rPr>
              <w:t>高素质</w:t>
            </w:r>
            <w:r>
              <w:rPr>
                <w:rFonts w:ascii="宋体" w:hAnsi="宋体" w:eastAsia="宋体" w:cs="宋体"/>
                <w:bCs/>
                <w:sz w:val="24"/>
                <w:szCs w:val="24"/>
              </w:rPr>
              <w:t>技术技能人才培养的新要求，符合</w:t>
            </w:r>
            <w:r>
              <w:rPr>
                <w:rFonts w:hint="eastAsia" w:ascii="宋体" w:hAnsi="宋体" w:eastAsia="宋体" w:cs="宋体"/>
                <w:bCs/>
                <w:sz w:val="24"/>
                <w:szCs w:val="24"/>
              </w:rPr>
              <w:t>教育部发布的</w:t>
            </w:r>
            <w:r>
              <w:rPr>
                <w:rFonts w:ascii="宋体" w:hAnsi="宋体" w:eastAsia="宋体" w:cs="宋体"/>
                <w:bCs/>
                <w:sz w:val="24"/>
                <w:szCs w:val="24"/>
              </w:rPr>
              <w:t>专业教学标准、实训教学条件建设标准、岗位实习标准等</w:t>
            </w:r>
            <w:r>
              <w:rPr>
                <w:rFonts w:hint="eastAsia" w:ascii="宋体" w:hAnsi="宋体" w:eastAsia="宋体" w:cs="宋体"/>
                <w:bCs/>
                <w:sz w:val="24"/>
                <w:szCs w:val="24"/>
              </w:rPr>
              <w:t>有关</w:t>
            </w:r>
            <w:r>
              <w:rPr>
                <w:rFonts w:ascii="宋体" w:hAnsi="宋体" w:eastAsia="宋体" w:cs="宋体"/>
                <w:bCs/>
                <w:sz w:val="24"/>
                <w:szCs w:val="24"/>
              </w:rPr>
              <w:t>要求，</w:t>
            </w:r>
            <w:r>
              <w:rPr>
                <w:rFonts w:hint="eastAsia" w:ascii="宋体" w:hAnsi="宋体" w:eastAsia="宋体" w:cs="宋体"/>
                <w:bCs/>
                <w:sz w:val="24"/>
                <w:szCs w:val="24"/>
              </w:rPr>
              <w:t>涉及1+X证书制度试点的专业，还应对接有关职业技能等级标准。</w:t>
            </w:r>
            <w:r>
              <w:rPr>
                <w:rFonts w:ascii="宋体" w:hAnsi="宋体" w:eastAsia="宋体" w:cs="宋体"/>
                <w:bCs/>
                <w:sz w:val="24"/>
                <w:szCs w:val="24"/>
              </w:rPr>
              <w:t>紧扣</w:t>
            </w:r>
            <w:r>
              <w:rPr>
                <w:rFonts w:hint="eastAsia" w:ascii="宋体" w:hAnsi="宋体" w:eastAsia="宋体" w:cs="宋体"/>
                <w:bCs/>
                <w:sz w:val="24"/>
                <w:szCs w:val="24"/>
              </w:rPr>
              <w:t>学校</w:t>
            </w:r>
            <w:r>
              <w:rPr>
                <w:rFonts w:ascii="宋体" w:hAnsi="宋体" w:eastAsia="宋体" w:cs="宋体"/>
                <w:bCs/>
                <w:sz w:val="24"/>
                <w:szCs w:val="24"/>
              </w:rPr>
              <w:t>专业人才培养方案和课程标准，</w:t>
            </w:r>
            <w:r>
              <w:rPr>
                <w:rFonts w:hint="eastAsia" w:ascii="宋体" w:hAnsi="宋体" w:eastAsia="宋体" w:cs="宋体"/>
                <w:bCs/>
                <w:sz w:val="24"/>
                <w:szCs w:val="24"/>
              </w:rPr>
              <w:t>强调培育学生学习能力、信息素养、职业能力、精益求精的工匠精神和爱岗敬业的劳动态度</w:t>
            </w:r>
            <w:r>
              <w:rPr>
                <w:rFonts w:ascii="宋体" w:hAnsi="宋体" w:eastAsia="宋体" w:cs="宋体"/>
                <w:bCs/>
                <w:sz w:val="24"/>
                <w:szCs w:val="24"/>
              </w:rPr>
              <w:t>。</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2.教学目标表述明确</w:t>
            </w:r>
            <w:r>
              <w:rPr>
                <w:rFonts w:hint="eastAsia" w:ascii="宋体" w:hAnsi="宋体" w:eastAsia="宋体" w:cs="宋体"/>
                <w:bCs/>
                <w:sz w:val="24"/>
                <w:szCs w:val="24"/>
              </w:rPr>
              <w:t>、相互关联</w:t>
            </w:r>
            <w:r>
              <w:rPr>
                <w:rFonts w:ascii="宋体" w:hAnsi="宋体" w:eastAsia="宋体" w:cs="宋体"/>
                <w:bCs/>
                <w:sz w:val="24"/>
                <w:szCs w:val="24"/>
              </w:rPr>
              <w:t>，重点突出、可评可测。</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客观</w:t>
            </w:r>
            <w:r>
              <w:rPr>
                <w:rFonts w:ascii="宋体" w:hAnsi="宋体" w:eastAsia="宋体" w:cs="宋体"/>
                <w:bCs/>
                <w:sz w:val="24"/>
                <w:szCs w:val="24"/>
              </w:rPr>
              <w:t>分析学生的知识和技能基础、认知和实践能力</w:t>
            </w:r>
            <w:r>
              <w:rPr>
                <w:rFonts w:hint="eastAsia" w:ascii="宋体" w:hAnsi="宋体" w:eastAsia="宋体" w:cs="宋体"/>
                <w:bCs/>
                <w:sz w:val="24"/>
                <w:szCs w:val="24"/>
              </w:rPr>
              <w:t>、学习特点</w:t>
            </w:r>
            <w:r>
              <w:rPr>
                <w:rFonts w:ascii="宋体" w:hAnsi="宋体" w:eastAsia="宋体" w:cs="宋体"/>
                <w:bCs/>
                <w:sz w:val="24"/>
                <w:szCs w:val="24"/>
              </w:rPr>
              <w:t>等，详实</w:t>
            </w:r>
            <w:r>
              <w:rPr>
                <w:rFonts w:hint="eastAsia" w:ascii="宋体" w:hAnsi="宋体" w:eastAsia="宋体" w:cs="宋体"/>
                <w:bCs/>
                <w:sz w:val="24"/>
                <w:szCs w:val="24"/>
              </w:rPr>
              <w:t>反映学生整体与个体情况</w:t>
            </w:r>
            <w:r>
              <w:rPr>
                <w:rFonts w:ascii="宋体" w:hAnsi="宋体" w:eastAsia="宋体" w:cs="宋体"/>
                <w:bCs/>
                <w:sz w:val="24"/>
                <w:szCs w:val="24"/>
              </w:rPr>
              <w:t>数据，</w:t>
            </w:r>
            <w:r>
              <w:rPr>
                <w:rFonts w:hint="eastAsia" w:ascii="宋体" w:hAnsi="宋体" w:eastAsia="宋体" w:cs="宋体"/>
                <w:bCs/>
                <w:sz w:val="24"/>
                <w:szCs w:val="24"/>
              </w:rPr>
              <w:t>准确预判教学</w:t>
            </w:r>
            <w:r>
              <w:rPr>
                <w:rFonts w:ascii="宋体" w:hAnsi="宋体" w:eastAsia="宋体" w:cs="宋体"/>
                <w:bCs/>
                <w:sz w:val="24"/>
                <w:szCs w:val="24"/>
              </w:rPr>
              <w:t>难点</w:t>
            </w:r>
            <w:r>
              <w:rPr>
                <w:rFonts w:hint="eastAsia" w:ascii="宋体" w:hAnsi="宋体" w:eastAsia="宋体" w:cs="宋体"/>
                <w:bCs/>
                <w:sz w:val="24"/>
                <w:szCs w:val="24"/>
              </w:rPr>
              <w:t>及其掌握可能</w:t>
            </w:r>
            <w:r>
              <w:rPr>
                <w:rFonts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21"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内容</w:t>
            </w:r>
          </w:p>
          <w:p>
            <w:pPr>
              <w:widowControl/>
              <w:spacing w:line="360" w:lineRule="exact"/>
              <w:jc w:val="center"/>
              <w:rPr>
                <w:rFonts w:ascii="宋体" w:hAnsi="宋体" w:eastAsia="宋体" w:cs="宋体"/>
                <w:bCs/>
                <w:sz w:val="24"/>
                <w:szCs w:val="24"/>
              </w:rPr>
            </w:pPr>
            <w:r>
              <w:rPr>
                <w:rFonts w:ascii="宋体" w:hAnsi="宋体" w:eastAsia="宋体" w:cs="宋体"/>
                <w:bCs/>
                <w:sz w:val="24"/>
                <w:szCs w:val="24"/>
              </w:rPr>
              <w:t>与</w:t>
            </w:r>
          </w:p>
          <w:p>
            <w:pPr>
              <w:widowControl/>
              <w:spacing w:line="360" w:lineRule="exact"/>
              <w:jc w:val="center"/>
              <w:rPr>
                <w:rFonts w:ascii="宋体" w:hAnsi="宋体" w:eastAsia="宋体" w:cs="宋体"/>
                <w:bCs/>
                <w:sz w:val="24"/>
                <w:szCs w:val="24"/>
              </w:rPr>
            </w:pPr>
            <w:r>
              <w:rPr>
                <w:rFonts w:ascii="宋体" w:hAnsi="宋体" w:eastAsia="宋体" w:cs="宋体"/>
                <w:bCs/>
                <w:sz w:val="24"/>
                <w:szCs w:val="24"/>
              </w:rPr>
              <w:t>策略</w:t>
            </w:r>
          </w:p>
        </w:tc>
        <w:tc>
          <w:tcPr>
            <w:tcW w:w="572" w:type="dxa"/>
            <w:shd w:val="clear" w:color="auto" w:fill="auto"/>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20</w:t>
            </w:r>
          </w:p>
        </w:tc>
        <w:tc>
          <w:tcPr>
            <w:tcW w:w="7866" w:type="dxa"/>
            <w:shd w:val="clear" w:color="auto" w:fill="auto"/>
            <w:vAlign w:val="center"/>
          </w:tcPr>
          <w:p>
            <w:pPr>
              <w:widowControl/>
              <w:spacing w:line="300" w:lineRule="exact"/>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深入挖掘课程</w:t>
            </w:r>
            <w:r>
              <w:rPr>
                <w:rFonts w:ascii="宋体" w:hAnsi="宋体" w:eastAsia="宋体" w:cs="宋体"/>
                <w:bCs/>
                <w:sz w:val="24"/>
                <w:szCs w:val="24"/>
              </w:rPr>
              <w:t>思政元素，</w:t>
            </w:r>
            <w:r>
              <w:rPr>
                <w:rFonts w:hint="eastAsia" w:ascii="宋体" w:hAnsi="宋体" w:eastAsia="宋体" w:cs="宋体"/>
                <w:bCs/>
                <w:sz w:val="24"/>
                <w:szCs w:val="24"/>
              </w:rPr>
              <w:t>有机融入课程教学，及时</w:t>
            </w:r>
            <w:r>
              <w:rPr>
                <w:rFonts w:ascii="宋体" w:hAnsi="宋体" w:eastAsia="宋体" w:cs="宋体"/>
                <w:bCs/>
                <w:sz w:val="24"/>
                <w:szCs w:val="24"/>
              </w:rPr>
              <w:t>反映相关领域产业升级的新技术、新工艺、新规范，</w:t>
            </w:r>
            <w:r>
              <w:rPr>
                <w:rFonts w:hint="eastAsia" w:ascii="宋体" w:hAnsi="宋体" w:eastAsia="宋体" w:cs="宋体"/>
                <w:bCs/>
                <w:sz w:val="24"/>
                <w:szCs w:val="24"/>
              </w:rPr>
              <w:t>结合课程特点有机融入劳动教育内容，开展劳动精神、劳模精神、工匠精神专题教育</w:t>
            </w:r>
            <w:r>
              <w:rPr>
                <w:rFonts w:ascii="宋体" w:hAnsi="宋体" w:eastAsia="宋体" w:cs="宋体"/>
                <w:bCs/>
                <w:sz w:val="24"/>
                <w:szCs w:val="24"/>
              </w:rPr>
              <w:t>。</w:t>
            </w:r>
            <w:r>
              <w:rPr>
                <w:rFonts w:hint="eastAsia" w:ascii="宋体" w:hAnsi="宋体" w:eastAsia="宋体" w:cs="宋体"/>
                <w:bCs/>
                <w:sz w:val="24"/>
                <w:szCs w:val="24"/>
              </w:rPr>
              <w:t>针对基于职业工作过程建设模块化课程的需求，优化教学内容。</w:t>
            </w:r>
          </w:p>
          <w:p>
            <w:pPr>
              <w:widowControl/>
              <w:spacing w:line="300" w:lineRule="exact"/>
              <w:jc w:val="left"/>
              <w:rPr>
                <w:rFonts w:ascii="宋体" w:hAnsi="宋体" w:eastAsia="宋体" w:cs="宋体"/>
                <w:bCs/>
                <w:sz w:val="24"/>
                <w:szCs w:val="24"/>
              </w:rPr>
            </w:pPr>
            <w:r>
              <w:rPr>
                <w:rFonts w:ascii="宋体" w:hAnsi="宋体" w:eastAsia="宋体" w:cs="宋体"/>
                <w:bCs/>
                <w:sz w:val="24"/>
                <w:szCs w:val="24"/>
              </w:rPr>
              <w:t>2.教学内容有效支撑教学目标的实现，选择科学严谨、容量</w:t>
            </w:r>
            <w:r>
              <w:rPr>
                <w:rFonts w:hint="eastAsia" w:ascii="宋体" w:hAnsi="宋体" w:eastAsia="宋体" w:cs="宋体"/>
                <w:bCs/>
                <w:sz w:val="24"/>
                <w:szCs w:val="24"/>
              </w:rPr>
              <w:t>适度</w:t>
            </w:r>
            <w:r>
              <w:rPr>
                <w:rFonts w:ascii="宋体" w:hAnsi="宋体" w:eastAsia="宋体" w:cs="宋体"/>
                <w:bCs/>
                <w:sz w:val="24"/>
                <w:szCs w:val="24"/>
              </w:rPr>
              <w:t>，安排</w:t>
            </w:r>
            <w:r>
              <w:rPr>
                <w:rFonts w:hint="eastAsia" w:ascii="宋体" w:hAnsi="宋体" w:eastAsia="宋体" w:cs="宋体"/>
                <w:bCs/>
                <w:sz w:val="24"/>
                <w:szCs w:val="24"/>
              </w:rPr>
              <w:t>合理、</w:t>
            </w:r>
            <w:r>
              <w:rPr>
                <w:rFonts w:ascii="宋体" w:hAnsi="宋体" w:eastAsia="宋体" w:cs="宋体"/>
                <w:bCs/>
                <w:sz w:val="24"/>
                <w:szCs w:val="24"/>
              </w:rPr>
              <w:t>衔接有序、结构清晰</w:t>
            </w:r>
            <w:r>
              <w:rPr>
                <w:rFonts w:hint="eastAsia" w:ascii="宋体" w:hAnsi="宋体" w:eastAsia="宋体" w:cs="宋体"/>
                <w:bCs/>
                <w:sz w:val="24"/>
                <w:szCs w:val="24"/>
              </w:rPr>
              <w:t>。</w:t>
            </w:r>
            <w:r>
              <w:rPr>
                <w:rFonts w:ascii="宋体" w:hAnsi="宋体" w:eastAsia="宋体" w:cs="宋体"/>
                <w:bCs/>
                <w:sz w:val="24"/>
                <w:szCs w:val="24"/>
              </w:rPr>
              <w:t>实训教学内容源于真实工作任务、项目或工作流程、过程等。</w:t>
            </w:r>
          </w:p>
          <w:p>
            <w:pPr>
              <w:widowControl/>
              <w:spacing w:line="300" w:lineRule="exact"/>
              <w:jc w:val="left"/>
              <w:rPr>
                <w:rFonts w:ascii="宋体" w:hAnsi="宋体" w:eastAsia="宋体" w:cs="宋体"/>
                <w:bCs/>
                <w:sz w:val="24"/>
                <w:szCs w:val="24"/>
              </w:rPr>
            </w:pPr>
            <w:r>
              <w:rPr>
                <w:rFonts w:ascii="宋体" w:hAnsi="宋体" w:eastAsia="宋体" w:cs="宋体"/>
                <w:bCs/>
                <w:sz w:val="24"/>
                <w:szCs w:val="24"/>
              </w:rPr>
              <w:t>3.教材选用</w:t>
            </w:r>
            <w:r>
              <w:rPr>
                <w:rFonts w:hint="eastAsia" w:ascii="宋体" w:hAnsi="宋体" w:eastAsia="宋体" w:cs="宋体"/>
                <w:bCs/>
                <w:sz w:val="24"/>
                <w:szCs w:val="24"/>
              </w:rPr>
              <w:t>符合《职业院校教材管理办法》等文件规定和要求</w:t>
            </w:r>
            <w:r>
              <w:rPr>
                <w:rFonts w:ascii="宋体" w:hAnsi="宋体" w:eastAsia="宋体" w:cs="宋体"/>
                <w:bCs/>
                <w:sz w:val="24"/>
                <w:szCs w:val="24"/>
              </w:rPr>
              <w:t>，</w:t>
            </w:r>
            <w:r>
              <w:rPr>
                <w:rFonts w:hint="eastAsia" w:ascii="宋体" w:hAnsi="宋体" w:eastAsia="宋体" w:cs="宋体"/>
                <w:bCs/>
                <w:sz w:val="24"/>
                <w:szCs w:val="24"/>
              </w:rPr>
              <w:t>探索使用新型活页式、工作手册式教材并配套信息化资源，引入典型生产案例。教案完整、规范、简明、真实。</w:t>
            </w:r>
          </w:p>
          <w:p>
            <w:pPr>
              <w:widowControl/>
              <w:spacing w:line="300" w:lineRule="exact"/>
              <w:jc w:val="left"/>
              <w:rPr>
                <w:rFonts w:ascii="宋体" w:hAnsi="宋体" w:eastAsia="宋体" w:cs="宋体"/>
                <w:bCs/>
                <w:sz w:val="24"/>
                <w:szCs w:val="24"/>
              </w:rPr>
            </w:pPr>
            <w:r>
              <w:rPr>
                <w:rFonts w:ascii="宋体" w:hAnsi="宋体" w:eastAsia="宋体" w:cs="宋体"/>
                <w:bCs/>
                <w:sz w:val="24"/>
                <w:szCs w:val="24"/>
              </w:rPr>
              <w:t>4.</w:t>
            </w:r>
            <w:r>
              <w:rPr>
                <w:rFonts w:hint="eastAsia" w:ascii="宋体" w:hAnsi="宋体" w:eastAsia="宋体" w:cs="宋体"/>
                <w:bCs/>
                <w:sz w:val="24"/>
                <w:szCs w:val="24"/>
              </w:rPr>
              <w:t>根据项目式、案例式等教学需要，</w:t>
            </w:r>
            <w:r>
              <w:rPr>
                <w:rFonts w:ascii="宋体" w:hAnsi="宋体" w:eastAsia="宋体" w:cs="宋体"/>
                <w:bCs/>
                <w:sz w:val="24"/>
                <w:szCs w:val="24"/>
              </w:rPr>
              <w:t>教学过程系统优化，流程环节构思得当，</w:t>
            </w:r>
            <w:r>
              <w:rPr>
                <w:rFonts w:hint="eastAsia" w:ascii="宋体" w:hAnsi="宋体" w:eastAsia="宋体" w:cs="宋体"/>
                <w:bCs/>
                <w:sz w:val="24"/>
                <w:szCs w:val="24"/>
              </w:rPr>
              <w:t>技术应用预想合理，</w:t>
            </w:r>
            <w:r>
              <w:rPr>
                <w:rFonts w:ascii="宋体" w:hAnsi="宋体" w:eastAsia="宋体" w:cs="宋体"/>
                <w:bCs/>
                <w:sz w:val="24"/>
                <w:szCs w:val="24"/>
              </w:rPr>
              <w:t>方法手段</w:t>
            </w:r>
            <w:r>
              <w:rPr>
                <w:rFonts w:hint="eastAsia" w:ascii="宋体" w:hAnsi="宋体" w:eastAsia="宋体" w:cs="宋体"/>
                <w:bCs/>
                <w:sz w:val="24"/>
                <w:szCs w:val="24"/>
              </w:rPr>
              <w:t>设计</w:t>
            </w:r>
            <w:r>
              <w:rPr>
                <w:rFonts w:ascii="宋体" w:hAnsi="宋体" w:eastAsia="宋体" w:cs="宋体"/>
                <w:bCs/>
                <w:sz w:val="24"/>
                <w:szCs w:val="24"/>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实施</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与</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成效</w:t>
            </w:r>
          </w:p>
        </w:tc>
        <w:tc>
          <w:tcPr>
            <w:tcW w:w="572" w:type="dxa"/>
            <w:shd w:val="clear" w:color="auto" w:fill="auto"/>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3</w:t>
            </w:r>
            <w:r>
              <w:rPr>
                <w:rFonts w:ascii="宋体" w:hAnsi="宋体" w:eastAsia="宋体" w:cs="宋体"/>
                <w:bCs/>
                <w:sz w:val="24"/>
                <w:szCs w:val="24"/>
              </w:rPr>
              <w:t>0</w:t>
            </w:r>
          </w:p>
        </w:tc>
        <w:tc>
          <w:tcPr>
            <w:tcW w:w="7866" w:type="dxa"/>
            <w:shd w:val="clear" w:color="auto" w:fill="auto"/>
            <w:vAlign w:val="center"/>
          </w:tcPr>
          <w:p>
            <w:pPr>
              <w:widowControl/>
              <w:spacing w:line="360" w:lineRule="exact"/>
              <w:jc w:val="left"/>
              <w:rPr>
                <w:rFonts w:ascii="宋体" w:hAnsi="宋体" w:eastAsia="宋体" w:cs="宋体"/>
                <w:bCs/>
                <w:sz w:val="24"/>
                <w:szCs w:val="24"/>
              </w:rPr>
            </w:pPr>
            <w:r>
              <w:rPr>
                <w:rFonts w:ascii="宋体" w:hAnsi="宋体" w:eastAsia="宋体" w:cs="宋体"/>
                <w:bCs/>
                <w:sz w:val="24"/>
                <w:szCs w:val="24"/>
              </w:rPr>
              <w:t>1.体现先进教育思想和教学理念，遵循学生认知规律</w:t>
            </w:r>
            <w:r>
              <w:rPr>
                <w:rFonts w:hint="eastAsia" w:ascii="宋体" w:hAnsi="宋体" w:eastAsia="宋体" w:cs="宋体"/>
                <w:bCs/>
                <w:sz w:val="24"/>
                <w:szCs w:val="24"/>
              </w:rPr>
              <w:t>，符合课内外</w:t>
            </w:r>
            <w:r>
              <w:rPr>
                <w:rFonts w:ascii="宋体" w:hAnsi="宋体" w:eastAsia="宋体" w:cs="宋体"/>
                <w:bCs/>
                <w:sz w:val="24"/>
                <w:szCs w:val="24"/>
              </w:rPr>
              <w:t>教学实际，</w:t>
            </w:r>
            <w:r>
              <w:rPr>
                <w:rFonts w:hint="eastAsia" w:ascii="宋体" w:hAnsi="宋体" w:eastAsia="宋体" w:cs="宋体"/>
                <w:bCs/>
                <w:sz w:val="24"/>
                <w:szCs w:val="24"/>
              </w:rPr>
              <w:t>落实</w:t>
            </w:r>
            <w:r>
              <w:rPr>
                <w:rFonts w:ascii="宋体" w:hAnsi="宋体" w:eastAsia="宋体" w:cs="宋体"/>
                <w:bCs/>
                <w:sz w:val="24"/>
                <w:szCs w:val="24"/>
              </w:rPr>
              <w:t>德技并修、工学结合</w:t>
            </w:r>
            <w:r>
              <w:rPr>
                <w:rFonts w:hint="eastAsia" w:ascii="宋体" w:hAnsi="宋体" w:eastAsia="宋体" w:cs="宋体"/>
                <w:bCs/>
                <w:sz w:val="24"/>
                <w:szCs w:val="24"/>
              </w:rPr>
              <w:t>。</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2.按照</w:t>
            </w:r>
            <w:r>
              <w:rPr>
                <w:rFonts w:hint="eastAsia" w:ascii="宋体" w:hAnsi="宋体" w:eastAsia="宋体" w:cs="宋体"/>
                <w:bCs/>
                <w:sz w:val="24"/>
                <w:szCs w:val="24"/>
              </w:rPr>
              <w:t>教学设计</w:t>
            </w:r>
            <w:r>
              <w:rPr>
                <w:rFonts w:ascii="宋体" w:hAnsi="宋体" w:eastAsia="宋体" w:cs="宋体"/>
                <w:bCs/>
                <w:sz w:val="24"/>
                <w:szCs w:val="24"/>
              </w:rPr>
              <w:t>实施教学，</w:t>
            </w:r>
            <w:r>
              <w:rPr>
                <w:rFonts w:hint="eastAsia" w:ascii="宋体" w:hAnsi="宋体" w:eastAsia="宋体" w:cs="宋体"/>
                <w:bCs/>
                <w:sz w:val="24"/>
                <w:szCs w:val="24"/>
              </w:rPr>
              <w:t>关注</w:t>
            </w:r>
            <w:r>
              <w:rPr>
                <w:rFonts w:ascii="宋体" w:hAnsi="宋体" w:eastAsia="宋体" w:cs="宋体"/>
                <w:bCs/>
                <w:sz w:val="24"/>
                <w:szCs w:val="24"/>
              </w:rPr>
              <w:t>技术技能教学重点</w:t>
            </w:r>
            <w:r>
              <w:rPr>
                <w:rFonts w:hint="eastAsia" w:ascii="宋体" w:hAnsi="宋体" w:eastAsia="宋体" w:cs="宋体"/>
                <w:bCs/>
                <w:sz w:val="24"/>
                <w:szCs w:val="24"/>
              </w:rPr>
              <w:t>、</w:t>
            </w:r>
            <w:r>
              <w:rPr>
                <w:rFonts w:ascii="宋体" w:hAnsi="宋体" w:eastAsia="宋体" w:cs="宋体"/>
                <w:bCs/>
                <w:sz w:val="24"/>
                <w:szCs w:val="24"/>
              </w:rPr>
              <w:t>难点的解决，能够针对学习和实践反馈及时调整教学</w:t>
            </w:r>
            <w:r>
              <w:rPr>
                <w:rFonts w:hint="eastAsia" w:ascii="宋体" w:hAnsi="宋体" w:eastAsia="宋体" w:cs="宋体"/>
                <w:bCs/>
                <w:sz w:val="24"/>
                <w:szCs w:val="24"/>
              </w:rPr>
              <w:t>，</w:t>
            </w:r>
            <w:r>
              <w:rPr>
                <w:rFonts w:ascii="宋体" w:hAnsi="宋体" w:eastAsia="宋体" w:cs="宋体"/>
                <w:bCs/>
                <w:sz w:val="24"/>
                <w:szCs w:val="24"/>
              </w:rPr>
              <w:t>突出学生中心，强调知行合一，实行因材施教。</w:t>
            </w:r>
            <w:r>
              <w:rPr>
                <w:rFonts w:hint="eastAsia" w:ascii="宋体" w:hAnsi="宋体" w:eastAsia="宋体" w:cs="宋体"/>
                <w:bCs/>
                <w:sz w:val="24"/>
                <w:szCs w:val="24"/>
              </w:rPr>
              <w:t>针对不同生源特点，体现灵活的教学组织形式。</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3.教学环境满足需求，教学活动安全有序，教学互动深入</w:t>
            </w:r>
            <w:r>
              <w:rPr>
                <w:rFonts w:hint="eastAsia" w:ascii="宋体" w:hAnsi="宋体" w:eastAsia="宋体" w:cs="宋体"/>
                <w:bCs/>
                <w:sz w:val="24"/>
                <w:szCs w:val="24"/>
              </w:rPr>
              <w:t>有效</w:t>
            </w:r>
            <w:r>
              <w:rPr>
                <w:rFonts w:ascii="宋体" w:hAnsi="宋体" w:eastAsia="宋体" w:cs="宋体"/>
                <w:bCs/>
                <w:sz w:val="24"/>
                <w:szCs w:val="24"/>
              </w:rPr>
              <w:t>，教学气氛生动活泼。</w:t>
            </w:r>
          </w:p>
          <w:p>
            <w:pPr>
              <w:widowControl/>
              <w:spacing w:line="360" w:lineRule="exact"/>
              <w:jc w:val="left"/>
              <w:rPr>
                <w:rFonts w:ascii="宋体" w:hAnsi="宋体" w:eastAsia="宋体" w:cs="宋体"/>
                <w:bCs/>
                <w:sz w:val="24"/>
                <w:szCs w:val="24"/>
              </w:rPr>
            </w:pPr>
            <w:r>
              <w:rPr>
                <w:rFonts w:hint="eastAsia" w:ascii="宋体" w:hAnsi="宋体" w:eastAsia="宋体" w:cs="宋体"/>
                <w:bCs/>
                <w:sz w:val="24"/>
                <w:szCs w:val="24"/>
              </w:rPr>
              <w:t>4</w:t>
            </w:r>
            <w:r>
              <w:rPr>
                <w:rFonts w:ascii="宋体" w:hAnsi="宋体" w:eastAsia="宋体" w:cs="宋体"/>
                <w:bCs/>
                <w:sz w:val="24"/>
                <w:szCs w:val="24"/>
              </w:rPr>
              <w:t>.关注教与学</w:t>
            </w:r>
            <w:r>
              <w:rPr>
                <w:rFonts w:hint="eastAsia" w:ascii="宋体" w:hAnsi="宋体" w:eastAsia="宋体" w:cs="宋体"/>
                <w:bCs/>
                <w:sz w:val="24"/>
                <w:szCs w:val="24"/>
              </w:rPr>
              <w:t>行为</w:t>
            </w:r>
            <w:r>
              <w:rPr>
                <w:rFonts w:ascii="宋体" w:hAnsi="宋体" w:eastAsia="宋体" w:cs="宋体"/>
                <w:bCs/>
                <w:sz w:val="24"/>
                <w:szCs w:val="24"/>
              </w:rPr>
              <w:t>采集，针对目标要求开展教学与实践</w:t>
            </w:r>
            <w:r>
              <w:rPr>
                <w:rFonts w:hint="eastAsia" w:ascii="宋体" w:hAnsi="宋体" w:eastAsia="宋体" w:cs="宋体"/>
                <w:bCs/>
                <w:sz w:val="24"/>
                <w:szCs w:val="24"/>
              </w:rPr>
              <w:t>的</w:t>
            </w:r>
            <w:r>
              <w:rPr>
                <w:rFonts w:ascii="宋体" w:hAnsi="宋体" w:eastAsia="宋体" w:cs="宋体"/>
                <w:bCs/>
                <w:sz w:val="24"/>
                <w:szCs w:val="24"/>
              </w:rPr>
              <w:t>考核与评价</w:t>
            </w:r>
            <w:r>
              <w:rPr>
                <w:rFonts w:hint="eastAsia" w:ascii="宋体" w:hAnsi="宋体" w:eastAsia="宋体" w:cs="宋体"/>
                <w:bCs/>
                <w:sz w:val="24"/>
                <w:szCs w:val="24"/>
              </w:rPr>
              <w:t>。</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5.合理运用</w:t>
            </w:r>
            <w:r>
              <w:rPr>
                <w:rFonts w:hint="eastAsia" w:ascii="宋体" w:hAnsi="宋体" w:eastAsia="宋体" w:cs="宋体"/>
                <w:bCs/>
                <w:sz w:val="24"/>
                <w:szCs w:val="24"/>
              </w:rPr>
              <w:t>云计算、大数据、物联网、虚拟仿真、增强现实、人工智能、区块链等信息技术以及教学</w:t>
            </w:r>
            <w:r>
              <w:rPr>
                <w:rFonts w:ascii="宋体" w:hAnsi="宋体" w:eastAsia="宋体" w:cs="宋体"/>
                <w:bCs/>
                <w:sz w:val="24"/>
                <w:szCs w:val="24"/>
              </w:rPr>
              <w:t>资源、设施</w:t>
            </w:r>
            <w:r>
              <w:rPr>
                <w:rFonts w:hint="eastAsia" w:ascii="宋体" w:hAnsi="宋体" w:eastAsia="宋体" w:cs="宋体"/>
                <w:bCs/>
                <w:sz w:val="24"/>
                <w:szCs w:val="24"/>
              </w:rPr>
              <w:t>设备</w:t>
            </w:r>
            <w:r>
              <w:rPr>
                <w:rFonts w:ascii="宋体" w:hAnsi="宋体" w:eastAsia="宋体" w:cs="宋体"/>
                <w:bCs/>
                <w:sz w:val="24"/>
                <w:szCs w:val="24"/>
              </w:rPr>
              <w:t>改造传统教学与实践方式</w:t>
            </w:r>
            <w:r>
              <w:rPr>
                <w:rFonts w:hint="eastAsia" w:ascii="宋体" w:hAnsi="宋体" w:eastAsia="宋体" w:cs="宋体"/>
                <w:bCs/>
                <w:sz w:val="24"/>
                <w:szCs w:val="24"/>
              </w:rPr>
              <w:t>、</w:t>
            </w:r>
            <w:r>
              <w:rPr>
                <w:rFonts w:ascii="宋体" w:hAnsi="宋体" w:eastAsia="宋体" w:cs="宋体"/>
                <w:bCs/>
                <w:sz w:val="24"/>
                <w:szCs w:val="24"/>
              </w:rPr>
              <w:t>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8" w:hRule="atLeast"/>
          <w:jc w:val="center"/>
        </w:trPr>
        <w:tc>
          <w:tcPr>
            <w:tcW w:w="821"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教学</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素养</w:t>
            </w:r>
          </w:p>
        </w:tc>
        <w:tc>
          <w:tcPr>
            <w:tcW w:w="572" w:type="dxa"/>
            <w:shd w:val="clear" w:color="auto" w:fill="auto"/>
            <w:vAlign w:val="center"/>
          </w:tcPr>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5</w:t>
            </w:r>
          </w:p>
        </w:tc>
        <w:tc>
          <w:tcPr>
            <w:tcW w:w="7866" w:type="dxa"/>
            <w:shd w:val="clear" w:color="auto" w:fill="auto"/>
            <w:vAlign w:val="center"/>
          </w:tcPr>
          <w:p>
            <w:pPr>
              <w:widowControl/>
              <w:spacing w:line="360" w:lineRule="exact"/>
              <w:jc w:val="left"/>
              <w:rPr>
                <w:rFonts w:ascii="宋体" w:hAnsi="宋体" w:eastAsia="宋体" w:cs="宋体"/>
                <w:bCs/>
                <w:sz w:val="24"/>
                <w:szCs w:val="24"/>
              </w:rPr>
            </w:pPr>
            <w:r>
              <w:rPr>
                <w:rFonts w:hint="eastAsia" w:ascii="宋体" w:hAnsi="宋体" w:eastAsia="宋体" w:cs="宋体"/>
                <w:bCs/>
                <w:sz w:val="24"/>
                <w:szCs w:val="24"/>
              </w:rPr>
              <w:t>1.充分展现新时代职业院校教师良好的师德师风、教学技能、实践能力和信息素养，发挥教学团队协作优势；老中青传帮带效果显著。</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2.课堂教学态度认真、严谨规范、</w:t>
            </w:r>
            <w:r>
              <w:rPr>
                <w:rFonts w:hint="eastAsia" w:ascii="宋体" w:hAnsi="宋体" w:eastAsia="宋体" w:cs="宋体"/>
                <w:bCs/>
                <w:sz w:val="24"/>
                <w:szCs w:val="24"/>
              </w:rPr>
              <w:t>表述清晰、</w:t>
            </w:r>
            <w:r>
              <w:rPr>
                <w:rFonts w:ascii="宋体" w:hAnsi="宋体" w:eastAsia="宋体" w:cs="宋体"/>
                <w:bCs/>
                <w:sz w:val="24"/>
                <w:szCs w:val="24"/>
              </w:rPr>
              <w:t>亲和力强。</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3.实训教学讲解和操作配合恰当，规范娴熟、示范有效，符合职业岗位要求，展现良好</w:t>
            </w:r>
            <w:r>
              <w:rPr>
                <w:rFonts w:hint="eastAsia" w:ascii="宋体" w:hAnsi="宋体" w:eastAsia="宋体" w:cs="宋体"/>
                <w:bCs/>
                <w:sz w:val="24"/>
                <w:szCs w:val="24"/>
              </w:rPr>
              <w:t>“</w:t>
            </w:r>
            <w:r>
              <w:rPr>
                <w:rFonts w:ascii="宋体" w:hAnsi="宋体" w:eastAsia="宋体" w:cs="宋体"/>
                <w:bCs/>
                <w:sz w:val="24"/>
                <w:szCs w:val="24"/>
              </w:rPr>
              <w:t>双师</w:t>
            </w:r>
            <w:r>
              <w:rPr>
                <w:rFonts w:hint="eastAsia" w:ascii="宋体" w:hAnsi="宋体" w:eastAsia="宋体" w:cs="宋体"/>
                <w:bCs/>
                <w:sz w:val="24"/>
                <w:szCs w:val="24"/>
              </w:rPr>
              <w:t>”</w:t>
            </w:r>
            <w:r>
              <w:rPr>
                <w:rFonts w:ascii="宋体" w:hAnsi="宋体" w:eastAsia="宋体" w:cs="宋体"/>
                <w:bCs/>
                <w:sz w:val="24"/>
                <w:szCs w:val="24"/>
              </w:rPr>
              <w:t>素养。</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4.教学实施报告</w:t>
            </w:r>
            <w:r>
              <w:rPr>
                <w:rFonts w:hint="eastAsia" w:ascii="宋体" w:hAnsi="宋体" w:eastAsia="宋体" w:cs="宋体"/>
                <w:bCs/>
                <w:sz w:val="24"/>
                <w:szCs w:val="24"/>
              </w:rPr>
              <w:t>客观记载、真实反映、深刻反思理论、实践教与学的成效与不足，提出教学设计与课堂实施的改进设想。</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5.决赛现场</w:t>
            </w:r>
            <w:r>
              <w:rPr>
                <w:rFonts w:hint="eastAsia" w:ascii="宋体" w:hAnsi="宋体" w:eastAsia="宋体" w:cs="宋体"/>
                <w:bCs/>
                <w:sz w:val="24"/>
                <w:szCs w:val="24"/>
              </w:rPr>
              <w:t>的内容介绍、教学展示和回答提问</w:t>
            </w:r>
            <w:r>
              <w:rPr>
                <w:rFonts w:ascii="宋体" w:hAnsi="宋体" w:eastAsia="宋体" w:cs="宋体"/>
                <w:bCs/>
                <w:sz w:val="24"/>
                <w:szCs w:val="24"/>
              </w:rPr>
              <w:t>聚焦主题、科学准确、思路清晰、逻辑严谨、研究深入、</w:t>
            </w:r>
            <w:r>
              <w:rPr>
                <w:rFonts w:hint="eastAsia" w:ascii="宋体" w:hAnsi="宋体" w:eastAsia="宋体" w:cs="宋体"/>
                <w:bCs/>
                <w:sz w:val="24"/>
                <w:szCs w:val="24"/>
              </w:rPr>
              <w:t>手段得当、简洁明了、</w:t>
            </w:r>
            <w:r>
              <w:rPr>
                <w:rFonts w:ascii="宋体" w:hAnsi="宋体" w:eastAsia="宋体" w:cs="宋体"/>
                <w:bCs/>
                <w:sz w:val="24"/>
                <w:szCs w:val="24"/>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jc w:val="center"/>
        </w:trPr>
        <w:tc>
          <w:tcPr>
            <w:tcW w:w="821"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特色</w:t>
            </w:r>
          </w:p>
          <w:p>
            <w:pPr>
              <w:widowControl/>
              <w:spacing w:line="360" w:lineRule="exact"/>
              <w:jc w:val="center"/>
              <w:rPr>
                <w:rFonts w:ascii="宋体" w:hAnsi="宋体" w:eastAsia="宋体" w:cs="宋体"/>
                <w:bCs/>
                <w:sz w:val="24"/>
                <w:szCs w:val="24"/>
              </w:rPr>
            </w:pPr>
            <w:r>
              <w:rPr>
                <w:rFonts w:hint="eastAsia" w:ascii="宋体" w:hAnsi="宋体" w:eastAsia="宋体" w:cs="宋体"/>
                <w:bCs/>
                <w:sz w:val="24"/>
                <w:szCs w:val="24"/>
              </w:rPr>
              <w:t>创新</w:t>
            </w:r>
          </w:p>
        </w:tc>
        <w:tc>
          <w:tcPr>
            <w:tcW w:w="572" w:type="dxa"/>
            <w:shd w:val="clear" w:color="auto" w:fill="auto"/>
            <w:tcMar>
              <w:left w:w="28" w:type="dxa"/>
              <w:right w:w="28" w:type="dxa"/>
            </w:tcMar>
            <w:vAlign w:val="center"/>
          </w:tcPr>
          <w:p>
            <w:pPr>
              <w:widowControl/>
              <w:spacing w:line="360" w:lineRule="exact"/>
              <w:jc w:val="center"/>
              <w:rPr>
                <w:rFonts w:ascii="宋体" w:hAnsi="宋体" w:eastAsia="宋体" w:cs="宋体"/>
                <w:bCs/>
                <w:sz w:val="24"/>
                <w:szCs w:val="24"/>
              </w:rPr>
            </w:pPr>
            <w:r>
              <w:rPr>
                <w:rFonts w:ascii="宋体" w:hAnsi="宋体" w:eastAsia="宋体" w:cs="宋体"/>
                <w:bCs/>
                <w:sz w:val="24"/>
                <w:szCs w:val="24"/>
              </w:rPr>
              <w:t>15</w:t>
            </w:r>
          </w:p>
        </w:tc>
        <w:tc>
          <w:tcPr>
            <w:tcW w:w="7866" w:type="dxa"/>
            <w:shd w:val="clear" w:color="auto" w:fill="auto"/>
            <w:tcMar>
              <w:left w:w="28" w:type="dxa"/>
              <w:right w:w="28" w:type="dxa"/>
            </w:tcMar>
            <w:vAlign w:val="center"/>
          </w:tcPr>
          <w:p>
            <w:pPr>
              <w:widowControl/>
              <w:spacing w:line="360" w:lineRule="exact"/>
              <w:jc w:val="left"/>
              <w:rPr>
                <w:rFonts w:ascii="宋体" w:hAnsi="宋体" w:eastAsia="宋体" w:cs="宋体"/>
                <w:bCs/>
                <w:sz w:val="24"/>
                <w:szCs w:val="24"/>
              </w:rPr>
            </w:pPr>
            <w:r>
              <w:rPr>
                <w:rFonts w:ascii="宋体" w:hAnsi="宋体" w:eastAsia="宋体" w:cs="宋体"/>
                <w:bCs/>
                <w:sz w:val="24"/>
                <w:szCs w:val="24"/>
              </w:rPr>
              <w:t>1.能够引导学生树立正确的理想信念、学会正确的思维方法、</w:t>
            </w:r>
            <w:r>
              <w:rPr>
                <w:rFonts w:hint="eastAsia" w:ascii="宋体" w:hAnsi="宋体" w:eastAsia="宋体" w:cs="宋体"/>
                <w:bCs/>
                <w:sz w:val="24"/>
                <w:szCs w:val="24"/>
              </w:rPr>
              <w:t>培育</w:t>
            </w:r>
            <w:r>
              <w:rPr>
                <w:rFonts w:ascii="宋体" w:hAnsi="宋体" w:eastAsia="宋体" w:cs="宋体"/>
                <w:bCs/>
                <w:sz w:val="24"/>
                <w:szCs w:val="24"/>
              </w:rPr>
              <w:t>正确的劳动观念</w:t>
            </w:r>
            <w:r>
              <w:rPr>
                <w:rFonts w:hint="eastAsia" w:ascii="宋体" w:hAnsi="宋体" w:eastAsia="宋体" w:cs="宋体"/>
                <w:bCs/>
                <w:sz w:val="24"/>
                <w:szCs w:val="24"/>
              </w:rPr>
              <w:t>、增强学生职业荣誉感</w:t>
            </w:r>
            <w:r>
              <w:rPr>
                <w:rFonts w:ascii="宋体" w:hAnsi="宋体" w:eastAsia="宋体" w:cs="宋体"/>
                <w:bCs/>
                <w:sz w:val="24"/>
                <w:szCs w:val="24"/>
              </w:rPr>
              <w:t>。</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2.能够创新教学与实训模式，给学生深刻的学习与实践体验。</w:t>
            </w:r>
          </w:p>
          <w:p>
            <w:pPr>
              <w:widowControl/>
              <w:spacing w:line="360" w:lineRule="exact"/>
              <w:jc w:val="left"/>
              <w:rPr>
                <w:rFonts w:ascii="宋体" w:hAnsi="宋体" w:eastAsia="宋体" w:cs="宋体"/>
                <w:bCs/>
                <w:sz w:val="24"/>
                <w:szCs w:val="24"/>
              </w:rPr>
            </w:pPr>
            <w:r>
              <w:rPr>
                <w:rFonts w:ascii="宋体" w:hAnsi="宋体" w:eastAsia="宋体" w:cs="宋体"/>
                <w:bCs/>
                <w:sz w:val="24"/>
                <w:szCs w:val="24"/>
              </w:rPr>
              <w:t>3.能够与时俱进地更新专业知识、积累实践技能、提高信息技术应用能力和教研科研能力。</w:t>
            </w:r>
          </w:p>
          <w:p>
            <w:pPr>
              <w:widowControl/>
              <w:spacing w:line="360" w:lineRule="exact"/>
              <w:jc w:val="left"/>
              <w:rPr>
                <w:rFonts w:ascii="宋体" w:hAnsi="宋体" w:eastAsia="宋体" w:cs="宋体"/>
                <w:bCs/>
                <w:sz w:val="24"/>
                <w:szCs w:val="24"/>
              </w:rPr>
            </w:pPr>
            <w:r>
              <w:rPr>
                <w:rFonts w:hint="eastAsia" w:ascii="宋体" w:hAnsi="宋体" w:eastAsia="宋体" w:cs="宋体"/>
                <w:bCs/>
                <w:sz w:val="24"/>
                <w:szCs w:val="24"/>
              </w:rPr>
              <w:t>4.具有较大借鉴和推广价值。</w:t>
            </w:r>
          </w:p>
        </w:tc>
      </w:tr>
    </w:tbl>
    <w:p>
      <w:pPr>
        <w:adjustRightInd w:val="0"/>
        <w:snapToGrid w:val="0"/>
        <w:spacing w:line="240" w:lineRule="atLeast"/>
        <w:rPr>
          <w:rFonts w:ascii="宋体" w:hAnsi="宋体" w:eastAsia="宋体" w:cs="仿宋"/>
          <w:sz w:val="32"/>
        </w:rPr>
      </w:pPr>
    </w:p>
    <w:p>
      <w:pPr>
        <w:overflowPunct w:val="0"/>
        <w:snapToGrid w:val="0"/>
        <w:rPr>
          <w:rFonts w:ascii="宋体" w:hAnsi="宋体" w:eastAsia="宋体" w:cs="仿宋"/>
          <w:sz w:val="18"/>
          <w:szCs w:val="18"/>
        </w:rPr>
        <w:sectPr>
          <w:footerReference r:id="rId6" w:type="default"/>
          <w:pgSz w:w="11906" w:h="16838"/>
          <w:pgMar w:top="1701" w:right="1474" w:bottom="1418" w:left="1588" w:header="1361" w:footer="1588" w:gutter="0"/>
          <w:cols w:space="425" w:num="1"/>
          <w:docGrid w:type="lines" w:linePitch="579" w:charSpace="21679"/>
        </w:sectPr>
      </w:pPr>
    </w:p>
    <w:p>
      <w:pPr>
        <w:adjustRightInd w:val="0"/>
        <w:snapToGrid w:val="0"/>
        <w:rPr>
          <w:rFonts w:hint="eastAsia" w:ascii="黑体" w:hAnsi="黑体" w:eastAsia="黑体" w:cs="黑体"/>
          <w:kern w:val="0"/>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widowControl/>
        <w:adjustRightInd w:val="0"/>
        <w:snapToGrid w:val="0"/>
        <w:jc w:val="center"/>
        <w:textAlignment w:val="center"/>
        <w:rPr>
          <w:rFonts w:ascii="宋体" w:hAnsi="宋体" w:eastAsia="宋体" w:cs="Times New Roman"/>
          <w:kern w:val="0"/>
          <w:sz w:val="24"/>
          <w:szCs w:val="24"/>
          <w:lang w:bidi="ar"/>
        </w:rPr>
      </w:pPr>
    </w:p>
    <w:p>
      <w:pPr>
        <w:adjustRightInd w:val="0"/>
        <w:snapToGrid w:val="0"/>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val="en-US" w:eastAsia="zh-CN" w:bidi="ar"/>
        </w:rPr>
        <w:t>2023年湖南省职业院校教师职业能力竞赛校内选拔赛报名汇总表</w:t>
      </w:r>
    </w:p>
    <w:p>
      <w:pPr>
        <w:adjustRightInd w:val="0"/>
        <w:snapToGrid w:val="0"/>
        <w:spacing w:line="240" w:lineRule="exact"/>
        <w:jc w:val="center"/>
        <w:rPr>
          <w:rFonts w:ascii="宋体" w:hAnsi="宋体" w:eastAsia="宋体" w:cs="Times New Roman"/>
          <w:kern w:val="0"/>
          <w:sz w:val="44"/>
          <w:szCs w:val="44"/>
          <w:lang w:bidi="ar"/>
        </w:rPr>
      </w:pPr>
    </w:p>
    <w:p>
      <w:pPr>
        <w:adjustRightInd w:val="0"/>
        <w:snapToGrid w:val="0"/>
        <w:ind w:firstLine="480" w:firstLineChars="200"/>
        <w:outlineLvl w:val="0"/>
        <w:rPr>
          <w:rFonts w:ascii="宋体" w:hAnsi="宋体" w:eastAsia="宋体" w:cs="Times New Roman"/>
          <w:kern w:val="0"/>
          <w:sz w:val="24"/>
          <w:szCs w:val="24"/>
          <w:u w:val="single"/>
          <w:lang w:bidi="ar"/>
        </w:rPr>
      </w:pPr>
      <w:r>
        <w:rPr>
          <w:rFonts w:hint="eastAsia" w:ascii="宋体" w:hAnsi="宋体" w:eastAsia="宋体" w:cs="Times New Roman"/>
          <w:kern w:val="0"/>
          <w:sz w:val="24"/>
          <w:szCs w:val="24"/>
          <w:lang w:bidi="ar"/>
        </w:rPr>
        <w:t>组别：</w:t>
      </w:r>
      <w:r>
        <w:rPr>
          <w:rFonts w:ascii="宋体" w:hAnsi="宋体" w:eastAsia="宋体" w:cs="Times New Roman"/>
          <w:kern w:val="0"/>
          <w:sz w:val="24"/>
          <w:szCs w:val="24"/>
          <w:lang w:bidi="ar"/>
        </w:rPr>
        <w:sym w:font="Wingdings 2" w:char="00A3"/>
      </w:r>
      <w:r>
        <w:rPr>
          <w:rFonts w:hint="eastAsia" w:ascii="宋体" w:hAnsi="宋体" w:eastAsia="宋体" w:cs="Times New Roman"/>
          <w:kern w:val="0"/>
          <w:sz w:val="24"/>
          <w:szCs w:val="24"/>
          <w:lang w:bidi="ar"/>
        </w:rPr>
        <w:t>中职组</w:t>
      </w:r>
      <w:r>
        <w:rPr>
          <w:rFonts w:ascii="宋体" w:hAnsi="宋体" w:eastAsia="宋体" w:cs="Times New Roman"/>
          <w:kern w:val="0"/>
          <w:sz w:val="24"/>
          <w:szCs w:val="24"/>
          <w:lang w:bidi="ar"/>
        </w:rPr>
        <w:t xml:space="preserve"> / </w:t>
      </w:r>
      <w:r>
        <w:rPr>
          <w:rFonts w:ascii="宋体" w:hAnsi="宋体" w:eastAsia="宋体" w:cs="Times New Roman"/>
          <w:kern w:val="0"/>
          <w:sz w:val="24"/>
          <w:szCs w:val="24"/>
          <w:lang w:bidi="ar"/>
        </w:rPr>
        <w:sym w:font="Wingdings 2" w:char="00A3"/>
      </w:r>
      <w:r>
        <w:rPr>
          <w:rFonts w:hint="eastAsia" w:ascii="宋体" w:hAnsi="宋体" w:eastAsia="宋体" w:cs="Times New Roman"/>
          <w:kern w:val="0"/>
          <w:sz w:val="24"/>
          <w:szCs w:val="24"/>
          <w:lang w:bidi="ar"/>
        </w:rPr>
        <w:t>高职高专组</w:t>
      </w:r>
      <w:r>
        <w:rPr>
          <w:rFonts w:ascii="宋体" w:hAnsi="宋体" w:eastAsia="宋体" w:cs="Times New Roman"/>
          <w:kern w:val="0"/>
          <w:sz w:val="24"/>
          <w:szCs w:val="24"/>
          <w:lang w:bidi="ar"/>
        </w:rPr>
        <w:t xml:space="preserve">        </w:t>
      </w:r>
      <w:r>
        <w:rPr>
          <w:rFonts w:hint="eastAsia" w:ascii="宋体" w:hAnsi="宋体" w:eastAsia="宋体" w:cs="Times New Roman"/>
          <w:kern w:val="0"/>
          <w:sz w:val="24"/>
          <w:szCs w:val="24"/>
          <w:lang w:bidi="ar"/>
        </w:rPr>
        <w:t xml:space="preserve">                         </w:t>
      </w:r>
      <w:r>
        <w:rPr>
          <w:rFonts w:ascii="宋体" w:hAnsi="宋体" w:eastAsia="宋体" w:cs="Times New Roman"/>
          <w:kern w:val="0"/>
          <w:sz w:val="24"/>
          <w:szCs w:val="24"/>
          <w:lang w:bidi="ar"/>
        </w:rPr>
        <w:t xml:space="preserve"> </w:t>
      </w:r>
      <w:r>
        <w:rPr>
          <w:rFonts w:hint="eastAsia" w:ascii="宋体" w:hAnsi="宋体" w:eastAsia="宋体" w:cs="Times New Roman"/>
          <w:kern w:val="0"/>
          <w:sz w:val="24"/>
          <w:szCs w:val="24"/>
          <w:lang w:val="en-US" w:eastAsia="zh-CN" w:bidi="ar"/>
        </w:rPr>
        <w:t>二级学院、部门</w:t>
      </w:r>
      <w:r>
        <w:rPr>
          <w:rFonts w:ascii="宋体" w:hAnsi="宋体" w:eastAsia="宋体" w:cs="Times New Roman"/>
          <w:kern w:val="0"/>
          <w:sz w:val="24"/>
          <w:szCs w:val="24"/>
          <w:lang w:bidi="ar"/>
        </w:rPr>
        <w:t xml:space="preserve"> </w:t>
      </w:r>
      <w:r>
        <w:rPr>
          <w:rFonts w:hint="eastAsia" w:ascii="宋体" w:hAnsi="宋体" w:eastAsia="宋体" w:cs="Times New Roman"/>
          <w:kern w:val="0"/>
          <w:sz w:val="24"/>
          <w:szCs w:val="24"/>
          <w:lang w:bidi="ar"/>
        </w:rPr>
        <w:t>名称（盖章）：</w:t>
      </w:r>
      <w:r>
        <w:rPr>
          <w:rFonts w:ascii="宋体" w:hAnsi="宋体" w:eastAsia="宋体" w:cs="Times New Roman"/>
          <w:kern w:val="0"/>
          <w:sz w:val="24"/>
          <w:szCs w:val="24"/>
          <w:u w:val="single"/>
          <w:lang w:bidi="ar"/>
        </w:rPr>
        <w:t xml:space="preserve">                     </w:t>
      </w:r>
    </w:p>
    <w:p>
      <w:pPr>
        <w:adjustRightInd w:val="0"/>
        <w:snapToGrid w:val="0"/>
        <w:ind w:firstLine="480" w:firstLineChars="200"/>
        <w:outlineLvl w:val="0"/>
        <w:rPr>
          <w:rFonts w:hint="eastAsia" w:ascii="宋体" w:hAnsi="宋体" w:eastAsia="宋体" w:cs="Times New Roman"/>
          <w:kern w:val="0"/>
          <w:sz w:val="24"/>
          <w:szCs w:val="24"/>
          <w:lang w:bidi="ar"/>
        </w:rPr>
      </w:pPr>
    </w:p>
    <w:p>
      <w:pPr>
        <w:adjustRightInd w:val="0"/>
        <w:snapToGrid w:val="0"/>
        <w:ind w:firstLine="480" w:firstLineChars="200"/>
        <w:outlineLvl w:val="0"/>
        <w:rPr>
          <w:rFonts w:ascii="宋体" w:hAnsi="宋体" w:eastAsia="宋体" w:cs="Times New Roman"/>
          <w:kern w:val="0"/>
          <w:sz w:val="24"/>
          <w:szCs w:val="24"/>
          <w:u w:val="single"/>
          <w:lang w:bidi="ar"/>
        </w:rPr>
      </w:pPr>
      <w:r>
        <w:rPr>
          <w:rFonts w:hint="eastAsia" w:ascii="宋体" w:hAnsi="宋体" w:eastAsia="宋体" w:cs="Times New Roman"/>
          <w:kern w:val="0"/>
          <w:sz w:val="24"/>
          <w:szCs w:val="24"/>
          <w:lang w:bidi="ar"/>
        </w:rPr>
        <w:t>联系人：</w:t>
      </w:r>
      <w:r>
        <w:rPr>
          <w:rFonts w:ascii="宋体" w:hAnsi="宋体" w:eastAsia="宋体" w:cs="Times New Roman"/>
          <w:kern w:val="0"/>
          <w:sz w:val="24"/>
          <w:szCs w:val="24"/>
          <w:u w:val="single"/>
          <w:lang w:bidi="ar"/>
        </w:rPr>
        <w:t xml:space="preserve">             </w:t>
      </w:r>
      <w:r>
        <w:rPr>
          <w:rFonts w:ascii="宋体" w:hAnsi="宋体" w:eastAsia="宋体" w:cs="Times New Roman"/>
          <w:kern w:val="0"/>
          <w:sz w:val="24"/>
          <w:szCs w:val="24"/>
          <w:lang w:bidi="ar"/>
        </w:rPr>
        <w:t xml:space="preserve">    </w:t>
      </w:r>
      <w:r>
        <w:rPr>
          <w:rFonts w:hint="eastAsia" w:ascii="宋体" w:hAnsi="宋体" w:eastAsia="宋体" w:cs="Times New Roman"/>
          <w:kern w:val="0"/>
          <w:sz w:val="24"/>
          <w:szCs w:val="24"/>
          <w:lang w:bidi="ar"/>
        </w:rPr>
        <w:t xml:space="preserve">          联系电话：</w:t>
      </w:r>
      <w:r>
        <w:rPr>
          <w:rFonts w:ascii="宋体" w:hAnsi="宋体" w:eastAsia="宋体" w:cs="Times New Roman"/>
          <w:kern w:val="0"/>
          <w:sz w:val="24"/>
          <w:szCs w:val="24"/>
          <w:u w:val="single"/>
          <w:lang w:bidi="ar"/>
        </w:rPr>
        <w:t xml:space="preserve">                  </w:t>
      </w:r>
    </w:p>
    <w:p>
      <w:pPr>
        <w:adjustRightInd w:val="0"/>
        <w:snapToGrid w:val="0"/>
        <w:ind w:firstLine="480" w:firstLineChars="200"/>
        <w:outlineLvl w:val="0"/>
        <w:rPr>
          <w:rFonts w:ascii="宋体" w:hAnsi="宋体" w:eastAsia="宋体" w:cs="Times New Roman"/>
          <w:kern w:val="0"/>
          <w:sz w:val="24"/>
          <w:szCs w:val="24"/>
          <w:u w:val="single"/>
          <w:lang w:bidi="ar"/>
        </w:rPr>
      </w:pPr>
    </w:p>
    <w:tbl>
      <w:tblPr>
        <w:tblStyle w:val="3"/>
        <w:tblW w:w="14489" w:type="dxa"/>
        <w:tblInd w:w="-128" w:type="dxa"/>
        <w:tblLayout w:type="fixed"/>
        <w:tblCellMar>
          <w:top w:w="15" w:type="dxa"/>
          <w:left w:w="15" w:type="dxa"/>
          <w:bottom w:w="15" w:type="dxa"/>
          <w:right w:w="15" w:type="dxa"/>
        </w:tblCellMar>
      </w:tblPr>
      <w:tblGrid>
        <w:gridCol w:w="600"/>
        <w:gridCol w:w="1664"/>
        <w:gridCol w:w="1358"/>
        <w:gridCol w:w="1766"/>
        <w:gridCol w:w="1687"/>
        <w:gridCol w:w="1937"/>
        <w:gridCol w:w="1869"/>
        <w:gridCol w:w="1810"/>
        <w:gridCol w:w="1798"/>
      </w:tblGrid>
      <w:tr>
        <w:tblPrEx>
          <w:tblCellMar>
            <w:top w:w="15" w:type="dxa"/>
            <w:left w:w="15" w:type="dxa"/>
            <w:bottom w:w="15" w:type="dxa"/>
            <w:right w:w="15"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序</w:t>
            </w:r>
          </w:p>
          <w:p>
            <w:pPr>
              <w:widowControl/>
              <w:adjustRightInd w:val="0"/>
              <w:snapToGrid w:val="0"/>
              <w:jc w:val="center"/>
              <w:textAlignment w:val="center"/>
              <w:rPr>
                <w:rFonts w:ascii="宋体" w:hAnsi="宋体" w:eastAsia="宋体" w:cs="Times New Roman"/>
                <w:kern w:val="0"/>
                <w:sz w:val="24"/>
                <w:szCs w:val="24"/>
                <w:lang w:bidi="ar"/>
              </w:rPr>
            </w:pPr>
          </w:p>
          <w:p>
            <w:pPr>
              <w:widowControl/>
              <w:adjustRightInd w:val="0"/>
              <w:snapToGrid w:val="0"/>
              <w:jc w:val="center"/>
              <w:textAlignment w:val="center"/>
              <w:rPr>
                <w:rFonts w:ascii="宋体" w:hAnsi="宋体" w:eastAsia="宋体" w:cs="Times New Roman"/>
                <w:sz w:val="24"/>
                <w:szCs w:val="24"/>
              </w:rPr>
            </w:pPr>
            <w:r>
              <w:rPr>
                <w:rFonts w:hint="eastAsia" w:ascii="宋体" w:hAnsi="宋体" w:eastAsia="宋体" w:cs="Times New Roman"/>
                <w:kern w:val="0"/>
                <w:sz w:val="24"/>
                <w:szCs w:val="24"/>
                <w:lang w:bidi="ar"/>
              </w:rPr>
              <w:t>号</w:t>
            </w:r>
          </w:p>
        </w:tc>
        <w:tc>
          <w:tcPr>
            <w:tcW w:w="16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团队成员</w:t>
            </w:r>
          </w:p>
          <w:p>
            <w:pPr>
              <w:widowControl/>
              <w:adjustRightInd w:val="0"/>
              <w:snapToGrid w:val="0"/>
              <w:jc w:val="center"/>
              <w:textAlignment w:val="center"/>
              <w:rPr>
                <w:rFonts w:ascii="宋体" w:hAnsi="宋体" w:eastAsia="宋体" w:cs="Times New Roman"/>
                <w:sz w:val="24"/>
                <w:szCs w:val="24"/>
              </w:rPr>
            </w:pPr>
            <w:r>
              <w:rPr>
                <w:rFonts w:hint="eastAsia" w:ascii="宋体" w:hAnsi="宋体" w:eastAsia="宋体" w:cs="Times New Roman"/>
                <w:kern w:val="0"/>
                <w:sz w:val="24"/>
                <w:szCs w:val="24"/>
                <w:lang w:bidi="ar"/>
              </w:rPr>
              <w:t>姓名</w:t>
            </w: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sz w:val="24"/>
                <w:szCs w:val="24"/>
              </w:rPr>
            </w:pPr>
            <w:r>
              <w:rPr>
                <w:rFonts w:hint="eastAsia" w:ascii="宋体" w:hAnsi="宋体" w:eastAsia="宋体" w:cs="Times New Roman"/>
                <w:kern w:val="0"/>
                <w:sz w:val="24"/>
                <w:szCs w:val="24"/>
                <w:lang w:bidi="ar"/>
              </w:rPr>
              <w:t>学校名称</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sz w:val="24"/>
                <w:szCs w:val="24"/>
              </w:rPr>
            </w:pPr>
            <w:r>
              <w:rPr>
                <w:rFonts w:hint="eastAsia" w:ascii="宋体" w:hAnsi="宋体" w:eastAsia="宋体" w:cs="Times New Roman"/>
                <w:kern w:val="0"/>
                <w:sz w:val="24"/>
                <w:szCs w:val="24"/>
                <w:lang w:bidi="ar"/>
              </w:rPr>
              <w:t>参赛组别（公共基础课程组</w:t>
            </w:r>
            <w:r>
              <w:rPr>
                <w:rFonts w:ascii="宋体" w:hAnsi="宋体" w:eastAsia="宋体" w:cs="Times New Roman"/>
                <w:kern w:val="0"/>
                <w:sz w:val="24"/>
                <w:szCs w:val="24"/>
                <w:lang w:bidi="ar"/>
              </w:rPr>
              <w:t>/</w:t>
            </w:r>
            <w:r>
              <w:rPr>
                <w:rFonts w:hint="eastAsia" w:ascii="宋体" w:hAnsi="宋体" w:eastAsia="宋体" w:cs="Times New Roman"/>
                <w:kern w:val="0"/>
                <w:sz w:val="24"/>
                <w:szCs w:val="24"/>
                <w:lang w:bidi="ar"/>
              </w:rPr>
              <w:t>专业课程一组</w:t>
            </w:r>
            <w:r>
              <w:rPr>
                <w:rFonts w:ascii="宋体" w:hAnsi="宋体" w:eastAsia="宋体" w:cs="Times New Roman"/>
                <w:kern w:val="0"/>
                <w:sz w:val="24"/>
                <w:szCs w:val="24"/>
                <w:lang w:bidi="ar"/>
              </w:rPr>
              <w:t>/</w:t>
            </w:r>
            <w:r>
              <w:rPr>
                <w:rFonts w:hint="eastAsia" w:ascii="宋体" w:hAnsi="宋体" w:eastAsia="宋体" w:cs="Times New Roman"/>
                <w:kern w:val="0"/>
                <w:sz w:val="24"/>
                <w:szCs w:val="24"/>
                <w:lang w:bidi="ar"/>
              </w:rPr>
              <w:t>专业课程二组）</w:t>
            </w: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sz w:val="24"/>
                <w:szCs w:val="24"/>
              </w:rPr>
            </w:pPr>
            <w:r>
              <w:rPr>
                <w:rFonts w:hint="eastAsia" w:ascii="宋体" w:hAnsi="宋体" w:eastAsia="宋体" w:cs="Times New Roman"/>
                <w:kern w:val="0"/>
                <w:sz w:val="24"/>
                <w:szCs w:val="24"/>
                <w:lang w:bidi="ar"/>
              </w:rPr>
              <w:t>所属专业大类或公共基础课课程类别</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sz w:val="24"/>
                <w:szCs w:val="24"/>
              </w:rPr>
            </w:pPr>
            <w:r>
              <w:rPr>
                <w:rFonts w:hint="eastAsia" w:ascii="宋体" w:hAnsi="宋体" w:eastAsia="宋体" w:cs="Times New Roman"/>
                <w:kern w:val="0"/>
                <w:sz w:val="24"/>
                <w:szCs w:val="24"/>
                <w:lang w:bidi="ar"/>
              </w:rPr>
              <w:t>任教专业</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sz w:val="24"/>
                <w:szCs w:val="24"/>
              </w:rPr>
            </w:pPr>
            <w:r>
              <w:rPr>
                <w:rFonts w:hint="eastAsia" w:ascii="宋体" w:hAnsi="宋体" w:eastAsia="宋体" w:cs="Times New Roman"/>
                <w:kern w:val="0"/>
                <w:sz w:val="24"/>
                <w:szCs w:val="24"/>
                <w:lang w:bidi="ar"/>
              </w:rPr>
              <w:t>课程名称</w:t>
            </w: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sz w:val="24"/>
                <w:szCs w:val="24"/>
              </w:rPr>
            </w:pPr>
            <w:r>
              <w:rPr>
                <w:rFonts w:hint="eastAsia" w:ascii="宋体" w:hAnsi="宋体" w:eastAsia="宋体" w:cs="Times New Roman"/>
                <w:kern w:val="0"/>
                <w:sz w:val="24"/>
                <w:szCs w:val="24"/>
                <w:lang w:bidi="ar"/>
              </w:rPr>
              <w:t>参赛作品名称</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eastAsia="宋体" w:cs="Times New Roman"/>
                <w:kern w:val="0"/>
                <w:sz w:val="24"/>
                <w:szCs w:val="24"/>
                <w:lang w:bidi="ar"/>
              </w:rPr>
            </w:pPr>
            <w:r>
              <w:rPr>
                <w:rFonts w:hint="eastAsia" w:ascii="宋体" w:hAnsi="宋体" w:eastAsia="宋体" w:cs="Times New Roman"/>
                <w:kern w:val="0"/>
                <w:sz w:val="24"/>
                <w:szCs w:val="24"/>
                <w:lang w:bidi="ar"/>
              </w:rPr>
              <w:t>联系电话</w:t>
            </w:r>
          </w:p>
        </w:tc>
      </w:tr>
      <w:tr>
        <w:tblPrEx>
          <w:tblCellMar>
            <w:top w:w="15" w:type="dxa"/>
            <w:left w:w="15" w:type="dxa"/>
            <w:bottom w:w="15" w:type="dxa"/>
            <w:right w:w="15" w:type="dxa"/>
          </w:tblCellMar>
        </w:tblPrEx>
        <w:trPr>
          <w:trHeight w:val="375"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r>
      <w:tr>
        <w:tblPrEx>
          <w:tblCellMar>
            <w:top w:w="15" w:type="dxa"/>
            <w:left w:w="15" w:type="dxa"/>
            <w:bottom w:w="15" w:type="dxa"/>
            <w:right w:w="15" w:type="dxa"/>
          </w:tblCellMar>
        </w:tblPrEx>
        <w:trPr>
          <w:trHeight w:val="375"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r>
      <w:tr>
        <w:tblPrEx>
          <w:tblCellMar>
            <w:top w:w="15" w:type="dxa"/>
            <w:left w:w="15" w:type="dxa"/>
            <w:bottom w:w="15" w:type="dxa"/>
            <w:right w:w="15" w:type="dxa"/>
          </w:tblCellMar>
        </w:tblPrEx>
        <w:trPr>
          <w:trHeight w:val="375"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r>
      <w:tr>
        <w:tblPrEx>
          <w:tblCellMar>
            <w:top w:w="15" w:type="dxa"/>
            <w:left w:w="15" w:type="dxa"/>
            <w:bottom w:w="15" w:type="dxa"/>
            <w:right w:w="15" w:type="dxa"/>
          </w:tblCellMar>
        </w:tblPrEx>
        <w:trPr>
          <w:trHeight w:val="375"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r>
      <w:tr>
        <w:tblPrEx>
          <w:tblCellMar>
            <w:top w:w="15" w:type="dxa"/>
            <w:left w:w="15" w:type="dxa"/>
            <w:bottom w:w="15" w:type="dxa"/>
            <w:right w:w="15" w:type="dxa"/>
          </w:tblCellMar>
        </w:tblPrEx>
        <w:trPr>
          <w:trHeight w:val="375"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r>
      <w:tr>
        <w:tblPrEx>
          <w:tblCellMar>
            <w:top w:w="15" w:type="dxa"/>
            <w:left w:w="15" w:type="dxa"/>
            <w:bottom w:w="15" w:type="dxa"/>
            <w:right w:w="15" w:type="dxa"/>
          </w:tblCellMar>
        </w:tblPrEx>
        <w:trPr>
          <w:trHeight w:val="375"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ascii="宋体" w:hAnsi="宋体" w:eastAsia="宋体" w:cs="Times New Roman"/>
                <w:sz w:val="28"/>
                <w:szCs w:val="28"/>
              </w:rPr>
            </w:pPr>
          </w:p>
        </w:tc>
      </w:tr>
    </w:tbl>
    <w:p>
      <w:pPr>
        <w:rPr>
          <w:rFonts w:hint="eastAsia" w:ascii="Times New Roman" w:hAnsi="Times New Roman" w:eastAsia="仿宋_GB2312" w:cs="Times New Roman"/>
          <w:spacing w:val="-11"/>
          <w:kern w:val="0"/>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8490D0-F0E6-49B1-94E6-93BB92D643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397A951-57A7-4472-9384-26C895F43ADC}"/>
  </w:font>
  <w:font w:name="华文中宋">
    <w:panose1 w:val="02010600040101010101"/>
    <w:charset w:val="86"/>
    <w:family w:val="auto"/>
    <w:pitch w:val="default"/>
    <w:sig w:usb0="00000287" w:usb1="080F0000" w:usb2="00000000" w:usb3="00000000" w:csb0="0004009F" w:csb1="DFD70000"/>
    <w:embedRegular r:id="rId3" w:fontKey="{3DB7739A-E7EC-4CE0-BC14-3F338AA58355}"/>
  </w:font>
  <w:font w:name="方正小标宋简体">
    <w:panose1 w:val="02000000000000000000"/>
    <w:charset w:val="86"/>
    <w:family w:val="script"/>
    <w:pitch w:val="default"/>
    <w:sig w:usb0="00000001" w:usb1="08000000" w:usb2="00000000" w:usb3="00000000" w:csb0="00040000" w:csb1="00000000"/>
    <w:embedRegular r:id="rId4" w:fontKey="{3ED39BFC-CDE9-424C-A3DC-02921487D604}"/>
  </w:font>
  <w:font w:name="仿宋_GB2312">
    <w:altName w:val="仿宋"/>
    <w:panose1 w:val="02010609030101010101"/>
    <w:charset w:val="86"/>
    <w:family w:val="modern"/>
    <w:pitch w:val="default"/>
    <w:sig w:usb0="00000000" w:usb1="00000000" w:usb2="00000010" w:usb3="00000000" w:csb0="00040000" w:csb1="00000000"/>
    <w:embedRegular r:id="rId5" w:fontKey="{F122061B-D9E5-4A68-A505-86EABF3230D0}"/>
  </w:font>
  <w:font w:name="仿宋">
    <w:panose1 w:val="02010609060101010101"/>
    <w:charset w:val="86"/>
    <w:family w:val="auto"/>
    <w:pitch w:val="default"/>
    <w:sig w:usb0="800002BF" w:usb1="38CF7CFA" w:usb2="00000016" w:usb3="00000000" w:csb0="00040001" w:csb1="00000000"/>
    <w:embedRegular r:id="rId6" w:fontKey="{ABA814C3-5C73-4BB4-A7CE-2D69F0F48884}"/>
  </w:font>
  <w:font w:name="Wingdings 2">
    <w:panose1 w:val="05020102010507070707"/>
    <w:charset w:val="02"/>
    <w:family w:val="roman"/>
    <w:pitch w:val="default"/>
    <w:sig w:usb0="00000000" w:usb1="00000000" w:usb2="00000000" w:usb3="00000000" w:csb0="80000000" w:csb1="00000000"/>
    <w:embedRegular r:id="rId7" w:fontKey="{89BA8D09-F9DF-49B4-9658-E6A7E093EB7F}"/>
  </w:font>
  <w:font w:name="方正姚体">
    <w:panose1 w:val="02010601030101010101"/>
    <w:charset w:val="86"/>
    <w:family w:val="auto"/>
    <w:pitch w:val="default"/>
    <w:sig w:usb0="00000003" w:usb1="080E0000" w:usb2="00000000" w:usb3="00000000" w:csb0="00040000" w:csb1="00000000"/>
    <w:embedRegular r:id="rId8" w:fontKey="{68A6955E-596B-49D2-8CFA-2F5329AB2A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hint="eastAsia"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hint="eastAsia"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txbxContent>
              </v:textbox>
            </v:shape>
          </w:pict>
        </mc:Fallback>
      </mc:AlternateContent>
    </w: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eastAsia="宋体" w:cs="Times New Roman"/>
                              <w:kern w:val="2"/>
                              <w:sz w:val="32"/>
                              <w:szCs w:val="22"/>
                              <w:lang w:val="en-US" w:eastAsia="zh-CN" w:bidi="ar-SA"/>
                            </w:rPr>
                            <w:id w:val="-778867170"/>
                          </w:sdtPr>
                          <w:sdtEndPr>
                            <w:rPr>
                              <w:rFonts w:ascii="Times New Roman" w:hAnsi="Times New Roman" w:eastAsia="宋体" w:cs="Times New Roman"/>
                              <w:kern w:val="2"/>
                              <w:sz w:val="28"/>
                              <w:szCs w:val="28"/>
                              <w:lang w:val="en-US" w:eastAsia="zh-CN" w:bidi="ar-SA"/>
                            </w:rPr>
                          </w:sdtEndPr>
                          <w:sdt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sdtContent>
                        </w:sdt>
                        <w:p>
                          <w:pPr>
                            <w:rPr>
                              <w:rFonts w:ascii="Calibri" w:hAnsi="Calibri" w:eastAsia="宋体" w:cs="Times New Roman"/>
                              <w:sz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sdt>
                    <w:sdtPr>
                      <w:rPr>
                        <w:rFonts w:ascii="Calibri" w:hAnsi="Calibri" w:eastAsia="宋体" w:cs="Times New Roman"/>
                        <w:kern w:val="2"/>
                        <w:sz w:val="32"/>
                        <w:szCs w:val="22"/>
                        <w:lang w:val="en-US" w:eastAsia="zh-CN" w:bidi="ar-SA"/>
                      </w:rPr>
                      <w:id w:val="-778867170"/>
                    </w:sdtPr>
                    <w:sdtEndPr>
                      <w:rPr>
                        <w:rFonts w:ascii="Times New Roman" w:hAnsi="Times New Roman" w:eastAsia="宋体" w:cs="Times New Roman"/>
                        <w:kern w:val="2"/>
                        <w:sz w:val="28"/>
                        <w:szCs w:val="28"/>
                        <w:lang w:val="en-US" w:eastAsia="zh-CN" w:bidi="ar-SA"/>
                      </w:rPr>
                    </w:sdtEndPr>
                    <w:sdt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sdtContent>
                  </w:sdt>
                  <w:p>
                    <w:pPr>
                      <w:rPr>
                        <w:rFonts w:ascii="Calibri" w:hAnsi="Calibri" w:eastAsia="宋体" w:cs="Times New Roman"/>
                        <w:sz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fldChar w:fldCharType="end"/>
                    </w:r>
                  </w:p>
                </w:txbxContent>
              </v:textbox>
            </v:shape>
          </w:pict>
        </mc:Fallback>
      </mc:AlternateContent>
    </w: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rPr>
                              <w:rFonts w:ascii="Calibri" w:hAnsi="Calibri" w:eastAsia="宋体" w:cs="Times New Roman"/>
                              <w:sz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rPr>
                        <w:rFonts w:ascii="Calibri" w:hAnsi="Calibri" w:eastAsia="宋体" w:cs="Times New Roman"/>
                        <w:sz w:val="3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eastAsia="宋体" w:cs="Times New Roman"/>
                              <w:kern w:val="2"/>
                              <w:sz w:val="32"/>
                              <w:szCs w:val="22"/>
                              <w:lang w:val="en-US" w:eastAsia="zh-CN" w:bidi="ar-SA"/>
                            </w:rPr>
                            <w:id w:val="-894511026"/>
                          </w:sdtPr>
                          <w:sdtEndPr>
                            <w:rPr>
                              <w:rFonts w:ascii="Times New Roman" w:hAnsi="Times New Roman" w:eastAsia="宋体" w:cs="Times New Roman"/>
                              <w:kern w:val="2"/>
                              <w:sz w:val="28"/>
                              <w:szCs w:val="28"/>
                              <w:lang w:val="en-US" w:eastAsia="zh-CN" w:bidi="ar-SA"/>
                            </w:rPr>
                          </w:sdtEndPr>
                          <w:sdt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sdtContent>
                        </w:sdt>
                        <w:p>
                          <w:pPr>
                            <w:rPr>
                              <w:rFonts w:ascii="Calibri" w:hAnsi="Calibri" w:eastAsia="宋体" w:cs="Times New Roman"/>
                              <w:sz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sdt>
                    <w:sdtPr>
                      <w:rPr>
                        <w:rFonts w:ascii="Calibri" w:hAnsi="Calibri" w:eastAsia="宋体" w:cs="Times New Roman"/>
                        <w:kern w:val="2"/>
                        <w:sz w:val="32"/>
                        <w:szCs w:val="22"/>
                        <w:lang w:val="en-US" w:eastAsia="zh-CN" w:bidi="ar-SA"/>
                      </w:rPr>
                      <w:id w:val="-894511026"/>
                    </w:sdtPr>
                    <w:sdtEndPr>
                      <w:rPr>
                        <w:rFonts w:ascii="Times New Roman" w:hAnsi="Times New Roman" w:eastAsia="宋体" w:cs="Times New Roman"/>
                        <w:kern w:val="2"/>
                        <w:sz w:val="28"/>
                        <w:szCs w:val="28"/>
                        <w:lang w:val="en-US" w:eastAsia="zh-CN" w:bidi="ar-SA"/>
                      </w:rPr>
                    </w:sdtEndPr>
                    <w:sdt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sdtContent>
                  </w:sdt>
                  <w:p>
                    <w:pPr>
                      <w:rPr>
                        <w:rFonts w:ascii="Calibri" w:hAnsi="Calibri" w:eastAsia="宋体" w:cs="Times New Roman"/>
                        <w:sz w:val="3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hint="eastAsia"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24</w:t>
                          </w:r>
                          <w:r>
                            <w:rPr>
                              <w:rFonts w:hint="eastAsia"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hint="eastAsia"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24</w:t>
                    </w:r>
                    <w:r>
                      <w:rPr>
                        <w:rFonts w:hint="eastAsia"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txbxContent>
              </v:textbox>
            </v:shape>
          </w:pict>
        </mc:Fallback>
      </mc:AlternateContent>
    </w: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eastAsia="宋体" w:cs="Times New Roman"/>
                              <w:kern w:val="2"/>
                              <w:sz w:val="32"/>
                              <w:szCs w:val="22"/>
                              <w:lang w:val="en-US" w:eastAsia="zh-CN" w:bidi="ar-SA"/>
                            </w:rPr>
                            <w:id w:val="1656181473"/>
                          </w:sdtPr>
                          <w:sdtEndPr>
                            <w:rPr>
                              <w:rFonts w:ascii="Times New Roman" w:hAnsi="Times New Roman" w:eastAsia="宋体" w:cs="Times New Roman"/>
                              <w:kern w:val="2"/>
                              <w:sz w:val="28"/>
                              <w:szCs w:val="28"/>
                              <w:lang w:val="en-US" w:eastAsia="zh-CN" w:bidi="ar-SA"/>
                            </w:rPr>
                          </w:sdtEndPr>
                          <w:sdt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sdtContent>
                        </w:sdt>
                        <w:p>
                          <w:pPr>
                            <w:rPr>
                              <w:rFonts w:ascii="Calibri" w:hAnsi="Calibri" w:eastAsia="宋体" w:cs="Times New Roman"/>
                              <w:sz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sdt>
                    <w:sdtPr>
                      <w:rPr>
                        <w:rFonts w:ascii="Calibri" w:hAnsi="Calibri" w:eastAsia="宋体" w:cs="Times New Roman"/>
                        <w:kern w:val="2"/>
                        <w:sz w:val="32"/>
                        <w:szCs w:val="22"/>
                        <w:lang w:val="en-US" w:eastAsia="zh-CN" w:bidi="ar-SA"/>
                      </w:rPr>
                      <w:id w:val="1656181473"/>
                    </w:sdtPr>
                    <w:sdtEndPr>
                      <w:rPr>
                        <w:rFonts w:ascii="Times New Roman" w:hAnsi="Times New Roman" w:eastAsia="宋体" w:cs="Times New Roman"/>
                        <w:kern w:val="2"/>
                        <w:sz w:val="28"/>
                        <w:szCs w:val="28"/>
                        <w:lang w:val="en-US" w:eastAsia="zh-CN" w:bidi="ar-SA"/>
                      </w:rPr>
                    </w:sdtEndPr>
                    <w:sdt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sdtContent>
                  </w:sdt>
                  <w:p>
                    <w:pPr>
                      <w:rPr>
                        <w:rFonts w:ascii="Calibri" w:hAnsi="Calibri" w:eastAsia="宋体" w:cs="Times New Roman"/>
                        <w:sz w:val="3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0E17F"/>
    <w:multiLevelType w:val="singleLevel"/>
    <w:tmpl w:val="4920E17F"/>
    <w:lvl w:ilvl="0" w:tentative="0">
      <w:start w:val="1"/>
      <w:numFmt w:val="decimal"/>
      <w:suff w:val="space"/>
      <w:lvlText w:val="%1."/>
      <w:lvlJc w:val="left"/>
    </w:lvl>
  </w:abstractNum>
  <w:abstractNum w:abstractNumId="1">
    <w:nsid w:val="4CA75AEF"/>
    <w:multiLevelType w:val="multilevel"/>
    <w:tmpl w:val="4CA75AE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OGM3YTcwYjg2ZjMxMWExZGFjZDNkMWU5MDIxNmUifQ=="/>
  </w:docVars>
  <w:rsids>
    <w:rsidRoot w:val="00172A27"/>
    <w:rsid w:val="05082FBC"/>
    <w:rsid w:val="08A068AA"/>
    <w:rsid w:val="0B6E50E9"/>
    <w:rsid w:val="0CCE0E5E"/>
    <w:rsid w:val="11BE27ED"/>
    <w:rsid w:val="130524D6"/>
    <w:rsid w:val="1358288E"/>
    <w:rsid w:val="17144548"/>
    <w:rsid w:val="195A0A6B"/>
    <w:rsid w:val="1AD81E17"/>
    <w:rsid w:val="1B7E40BC"/>
    <w:rsid w:val="1D9C4D60"/>
    <w:rsid w:val="1F111AA4"/>
    <w:rsid w:val="1F83560F"/>
    <w:rsid w:val="22D30148"/>
    <w:rsid w:val="23876F14"/>
    <w:rsid w:val="24A65F8D"/>
    <w:rsid w:val="26EC459B"/>
    <w:rsid w:val="28220C53"/>
    <w:rsid w:val="31A25E56"/>
    <w:rsid w:val="3208022F"/>
    <w:rsid w:val="32D851D1"/>
    <w:rsid w:val="398114C3"/>
    <w:rsid w:val="3C757A7E"/>
    <w:rsid w:val="43AB7A1F"/>
    <w:rsid w:val="44554C3C"/>
    <w:rsid w:val="44CF504D"/>
    <w:rsid w:val="44E86595"/>
    <w:rsid w:val="470D0AF5"/>
    <w:rsid w:val="48531901"/>
    <w:rsid w:val="4AB70688"/>
    <w:rsid w:val="52D94894"/>
    <w:rsid w:val="53054DD1"/>
    <w:rsid w:val="532D000B"/>
    <w:rsid w:val="53F35AA4"/>
    <w:rsid w:val="585B79B0"/>
    <w:rsid w:val="5B140267"/>
    <w:rsid w:val="5BBA5F28"/>
    <w:rsid w:val="5C36266A"/>
    <w:rsid w:val="5CCF30E9"/>
    <w:rsid w:val="5F486A45"/>
    <w:rsid w:val="6476556A"/>
    <w:rsid w:val="64A84324"/>
    <w:rsid w:val="66B72F94"/>
    <w:rsid w:val="6D9C0A52"/>
    <w:rsid w:val="715F5A90"/>
    <w:rsid w:val="74963463"/>
    <w:rsid w:val="768707B6"/>
    <w:rsid w:val="7B12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10730</Words>
  <Characters>11110</Characters>
  <Lines>0</Lines>
  <Paragraphs>0</Paragraphs>
  <TotalTime>2</TotalTime>
  <ScaleCrop>false</ScaleCrop>
  <LinksUpToDate>false</LinksUpToDate>
  <CharactersWithSpaces>11327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2022-04-08T01:12:00Z</dcterms:created>
  <dc:creator>1</dc:creator>
  <cp:lastModifiedBy>CC</cp:lastModifiedBy>
  <cp:lastPrinted>2022-04-11T07:57:00Z</cp:lastPrinted>
  <dcterms:modified xsi:type="dcterms:W3CDTF">2023-04-06T01:35:08Z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785F82DE5F0E47FC927D8EA556A58DFB</vt:lpwstr>
  </property>
</Properties>
</file>