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i w:val="0"/>
          <w:caps w:val="0"/>
          <w:spacing w:val="0"/>
          <w:w w:val="100"/>
          <w:sz w:val="44"/>
          <w:szCs w:val="44"/>
        </w:rPr>
        <w:t>群文创作类项目申报附件清单</w:t>
      </w:r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 w:val="0"/>
        <w:spacing w:before="0" w:beforeAutospacing="0" w:after="0" w:afterAutospacing="0" w:line="640" w:lineRule="exact"/>
        <w:ind w:firstLine="640" w:firstLineChars="200"/>
        <w:jc w:val="both"/>
        <w:textAlignment w:val="baseline"/>
        <w:rPr>
          <w:rFonts w:ascii="Times New Roman" w:hAnsi="Times New Roman" w:eastAsia="仿宋_GB2312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i w:val="0"/>
          <w:caps w:val="0"/>
          <w:spacing w:val="0"/>
          <w:w w:val="100"/>
          <w:sz w:val="32"/>
          <w:szCs w:val="32"/>
        </w:rPr>
        <w:t>群众文艺作品的视频（音乐、戏剧、曲艺类作品除视频外还需报送曲谱、剧本、曲本），全部通过“专项资金项目申报综合管理平台”报送。舞蹈作品演出时长不得超过6分钟、音乐作品（含声乐、器乐）演出时长不得超过6分钟、戏剧作品演出时长不得超过15分钟、曲艺作品（含小品）演出时长不得超过12分钟。视频分辨率不低于1280*720，帧率：25，码流不低于8Mbps。视频中不能出现主创人员名单，音乐、语言类节目必须打唱词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5CEE63D3"/>
    <w:rsid w:val="5CEE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2022-06-27T03:10:00Z</dcterms:created>
  <dc:creator>_Bingqian</dc:creator>
  <cp:lastModifiedBy>_Bingqian</cp:lastModifiedBy>
  <dcterms:modified xsi:type="dcterms:W3CDTF">2022-06-27T03:11:02Z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8AAC6601A0034C77BAD51170C8693452</vt:lpwstr>
  </property>
</Properties>
</file>