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49"/>
        <w:ind w:left="20" w:right="0" w:firstLine="0"/>
      </w:pPr>
      <w:r>
        <w:rPr>
          <w:color w:val="000000"/>
          <w:spacing w:val="0"/>
          <w:w w:val="100"/>
          <w:position w:val="0"/>
          <w:lang w:val="zh-CN" w:eastAsia="zh-CN" w:bidi="zh-CN"/>
        </w:rPr>
        <w:t>湖南省教育科学“十三五”规划</w:t>
      </w:r>
      <w:r>
        <w:rPr>
          <w:color w:val="000000"/>
          <w:spacing w:val="0"/>
          <w:w w:val="100"/>
          <w:position w:val="0"/>
          <w:lang w:val="zh-CN" w:eastAsia="zh-CN" w:bidi="zh-CN"/>
        </w:rPr>
        <w:br w:type="textWrapping"/>
      </w:r>
      <w:r>
        <w:rPr>
          <w:color w:val="000000"/>
          <w:spacing w:val="0"/>
          <w:w w:val="100"/>
          <w:position w:val="0"/>
          <w:lang w:val="zh-CN" w:eastAsia="zh-CN" w:bidi="zh-CN"/>
        </w:rPr>
        <w:t>2019年度课题指南</w:t>
      </w:r>
    </w:p>
    <w:p>
      <w:pPr>
        <w:pStyle w:val="5"/>
        <w:keepNext/>
        <w:keepLines/>
        <w:widowControl w:val="0"/>
        <w:shd w:val="clear" w:color="auto" w:fill="auto"/>
        <w:tabs>
          <w:tab w:val="left" w:pos="1323"/>
        </w:tabs>
        <w:bidi w:val="0"/>
        <w:spacing w:before="0" w:after="0" w:line="619" w:lineRule="exact"/>
        <w:ind w:left="700" w:right="0" w:firstLine="0"/>
        <w:jc w:val="both"/>
      </w:pPr>
      <w:bookmarkStart w:id="0" w:name="bookmark3"/>
      <w:r>
        <w:rPr>
          <w:color w:val="000000"/>
          <w:spacing w:val="0"/>
          <w:w w:val="100"/>
          <w:position w:val="0"/>
          <w:lang w:val="zh-CN" w:eastAsia="zh-CN" w:bidi="zh-CN"/>
        </w:rPr>
        <w:t>一、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重大招标（重大委托）课题</w:t>
      </w:r>
      <w:bookmarkEnd w:id="0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860"/>
        <w:jc w:val="both"/>
      </w:pPr>
      <w:r>
        <w:rPr>
          <w:color w:val="000000"/>
          <w:w w:val="100"/>
          <w:position w:val="0"/>
          <w:lang w:val="zh-CN" w:eastAsia="zh-CN" w:bidi="zh-CN"/>
        </w:rPr>
        <w:t>（说明：下列重大招标课题名称即为研究题目，申请人不得变更，不得添加副标题，不得自行命题，否则不予受理）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99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湖南科教强省建设进展及推进策略研究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09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湖南教育现代化考核体系研究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09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面向2035湖南教育开放战略研究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中央财政对中部地区教育投入研究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湖南一流本科教育建设路径与政策体系研究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新时代湖南高等教育结构优化研究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新时代湖南职业教育改革发展战略研究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教育现代化背景下湖南教师教育体系改进研究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6"/>
        </w:tabs>
        <w:bidi w:val="0"/>
        <w:spacing w:before="0" w:after="0" w:line="619" w:lineRule="exact"/>
        <w:ind w:left="700" w:right="0" w:firstLine="0"/>
        <w:jc w:val="both"/>
      </w:pPr>
      <w:r>
        <w:rPr>
          <w:color w:val="000000"/>
          <w:w w:val="100"/>
          <w:position w:val="0"/>
          <w:lang w:val="zh-CN" w:eastAsia="zh-CN" w:bidi="zh-CN"/>
        </w:rPr>
        <w:t>普通高中选课走班及其课程体系建设研究</w:t>
      </w:r>
    </w:p>
    <w:p>
      <w:pPr>
        <w:pStyle w:val="5"/>
        <w:keepNext/>
        <w:keepLines/>
        <w:widowControl w:val="0"/>
        <w:shd w:val="clear" w:color="auto" w:fill="auto"/>
        <w:tabs>
          <w:tab w:val="left" w:pos="1323"/>
        </w:tabs>
        <w:bidi w:val="0"/>
        <w:spacing w:before="0" w:after="0" w:line="619" w:lineRule="exact"/>
        <w:ind w:left="700" w:right="0" w:firstLine="0"/>
        <w:jc w:val="both"/>
      </w:pPr>
      <w:bookmarkStart w:id="1" w:name="bookmark4"/>
      <w:r>
        <w:rPr>
          <w:color w:val="000000"/>
          <w:spacing w:val="0"/>
          <w:w w:val="100"/>
          <w:position w:val="0"/>
          <w:lang w:val="zh-CN" w:eastAsia="zh-CN" w:bidi="zh-CN"/>
        </w:rPr>
        <w:t>二、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决策咨询研究领域与方向</w:t>
      </w:r>
      <w:bookmarkEnd w:id="1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860"/>
        <w:jc w:val="both"/>
      </w:pPr>
      <w:r>
        <w:rPr>
          <w:color w:val="000000"/>
          <w:w w:val="100"/>
          <w:position w:val="0"/>
          <w:lang w:val="zh-CN" w:eastAsia="zh-CN" w:bidi="zh-CN"/>
        </w:rPr>
        <w:t>（说明：本年度决策咨询研究领域与方向的课题专门为教育决策服务，研究周期原则上为一年，能够快速对省委省政府关注 的教育问题做出反应。）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49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湖南教育行政执法研究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湖南省教育督导体制机制创新研究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市、县人民政府履行教育职责评价研究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湖南教育监测及结果运用研究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湖南地方财政教育投入政策研究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县域内教师与公务员年收入的实证研究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湖南科教强省背景下技术技能人才成长通道研究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县域教师发展研训一体化研究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1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对接乡村振兴战略的乡村教育重大问题研究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湖南公费定向师范生招生机制优化研究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农村教学点“撤”与“留”深度研究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湖南尊师重教与增强教师职业吸引力的建设路径与政策研究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26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学校教育风险点与防范机制研究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26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中小学生行为习惯与心理健康的实证研究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8"/>
        </w:tabs>
        <w:bidi w:val="0"/>
        <w:spacing w:before="0" w:after="0" w:line="626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湖南普惠性幼儿园发展规划与推进路径研究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626" w:lineRule="exact"/>
        <w:ind w:left="640" w:right="0" w:firstLine="0"/>
        <w:jc w:val="left"/>
      </w:pPr>
      <w:bookmarkStart w:id="2" w:name="bookmark5"/>
      <w:r>
        <w:rPr>
          <w:color w:val="000000"/>
          <w:spacing w:val="0"/>
          <w:w w:val="100"/>
          <w:position w:val="0"/>
          <w:lang w:val="zh-CN" w:eastAsia="zh-CN" w:bidi="zh-CN"/>
        </w:rPr>
        <w:t>三、重点研究领域和方向</w:t>
      </w:r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840"/>
        <w:jc w:val="left"/>
      </w:pPr>
      <w:r>
        <w:rPr>
          <w:color w:val="000000"/>
          <w:w w:val="100"/>
          <w:position w:val="0"/>
          <w:lang w:val="zh-CN" w:eastAsia="zh-CN" w:bidi="zh-CN"/>
        </w:rPr>
        <w:t>（说明：本年度重点课题研究领域和方向一般不宜直接作为 课题题目，申请人可据此分解、细化，自拟题目申报。）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640" w:right="0" w:firstLine="0"/>
        <w:jc w:val="left"/>
        <w:sectPr>
          <w:footerReference r:id="rId3" w:type="default"/>
          <w:footerReference r:id="rId4" w:type="even"/>
          <w:pgSz w:w="11900" w:h="16840"/>
          <w:pgMar w:top="1983" w:right="1310" w:bottom="1639" w:left="1734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w w:val="100"/>
          <w:position w:val="0"/>
          <w:lang w:val="en-US" w:eastAsia="en-US" w:bidi="en-US"/>
        </w:rPr>
        <w:t>1.</w:t>
      </w:r>
      <w:r>
        <w:rPr>
          <w:color w:val="000000"/>
          <w:w w:val="100"/>
          <w:position w:val="0"/>
          <w:lang w:val="zh-CN" w:eastAsia="zh-CN" w:bidi="zh-CN"/>
        </w:rPr>
        <w:t>习近平教育工作论述研究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69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“创新引领开放崛起战略”对湖南教育发展需求研究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新时代教育多元治理优化教育生态环境研究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新中国70年教育发展的“湖南经验”研究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湖南中师百年史研究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湖南新型教育智库建设研究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湖南教育标准体系构建研究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湖南教育“放管服”研究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76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教育治理体系与教育现代化研究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教育内部审计监督研究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新时代教育扶贫协同机制、路径与政策研究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师德师风建设长效机制研究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学校德育工作机制与策略研究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教育质量评价与优化机制研究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38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研究生权益保障现状及对策研究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31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地方高校一流学科（应用特色学科）建设研究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31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职业院校专业群建设研究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31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行业企业参与的产教深度融合政策比较研究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60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湖南教育信息化发展研究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60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新时代人工智能教育理论体系研究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60"/>
        </w:tabs>
        <w:bidi w:val="0"/>
        <w:spacing w:before="0" w:after="0" w:line="619" w:lineRule="exact"/>
        <w:ind w:left="60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人工智能背景下中小学课程研究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0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农村数字课程资源公共服务体系研究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湖南省农村教育政策绩效评价研究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振兴乡村战略背景下乡村教育体系完善研究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农村中小学网络联校建设长效机制研究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乡村“小而美”、“小而优”学校建设研究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乡村学校及教师在乡村文化建设中的定位与作用研究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湖南红色基因与教育传承研究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新时代家庭教育研究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校训精神的文化育人研究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新时代学生劳动教育研究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学生绿色生活方式的培育与践行研究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学校国防教育研究与实践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美育与德育的关系及其运行机制研究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湖南学生学宪法讲宪法主题教育研究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湖南名校集团化办学的现状与对策研究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中小学名校长、名师与特级教师工作室（工作站）研究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0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学科核心素养培育与课堂教学改革研究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基于学科核心素养培育的中小学统编教材使用研究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07"/>
        </w:tabs>
        <w:bidi w:val="0"/>
        <w:spacing w:before="0" w:after="0" w:line="619" w:lineRule="exact"/>
        <w:ind w:left="640" w:right="0" w:firstLine="0"/>
        <w:jc w:val="left"/>
      </w:pPr>
      <w:bookmarkStart w:id="3" w:name="_GoBack"/>
      <w:bookmarkEnd w:id="3"/>
      <w:r>
        <w:rPr>
          <w:color w:val="000000"/>
          <w:w w:val="100"/>
          <w:position w:val="0"/>
          <w:lang w:val="zh-CN" w:eastAsia="zh-CN" w:bidi="zh-CN"/>
        </w:rPr>
        <w:t>湖南中小学研学旅课程创新与实践育人机制研究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87"/>
        </w:tabs>
        <w:bidi w:val="0"/>
        <w:spacing w:before="0" w:after="0" w:line="619" w:lineRule="exact"/>
        <w:ind w:left="640" w:right="0" w:firstLine="0"/>
        <w:jc w:val="left"/>
        <w:sectPr>
          <w:footerReference r:id="rId7" w:type="first"/>
          <w:footerReference r:id="rId5" w:type="default"/>
          <w:footerReference r:id="rId6" w:type="even"/>
          <w:pgSz w:w="11900" w:h="16840"/>
          <w:pgMar w:top="1983" w:right="1310" w:bottom="1639" w:left="1734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w w:val="100"/>
          <w:position w:val="0"/>
          <w:lang w:val="zh-CN" w:eastAsia="zh-CN" w:bidi="zh-CN"/>
        </w:rPr>
        <w:t>湖南中小学校本课程建设现状与发展趋势研究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27"/>
        </w:tabs>
        <w:bidi w:val="0"/>
        <w:spacing w:before="0" w:after="69"/>
        <w:ind w:left="46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中小学实验教学的现状与对策研究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27"/>
        </w:tabs>
        <w:bidi w:val="0"/>
        <w:spacing w:before="0" w:after="0" w:line="619" w:lineRule="exact"/>
        <w:ind w:left="46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基础教育教师性别结构对学生的影响研究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27"/>
        </w:tabs>
        <w:bidi w:val="0"/>
        <w:spacing w:before="0" w:after="0" w:line="619" w:lineRule="exact"/>
        <w:ind w:left="46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湖南民办教育的规范与可持续发展研究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27"/>
        </w:tabs>
        <w:bidi w:val="0"/>
        <w:spacing w:before="0" w:after="0" w:line="619" w:lineRule="exact"/>
        <w:ind w:left="46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湖南教育培训市场治理长效机制与监测指标研究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27"/>
        </w:tabs>
        <w:bidi w:val="0"/>
        <w:spacing w:before="0" w:after="0" w:line="619" w:lineRule="exact"/>
        <w:ind w:left="460" w:right="0" w:firstLine="0"/>
        <w:jc w:val="left"/>
        <w:sectPr>
          <w:footerReference r:id="rId10" w:type="first"/>
          <w:footerReference r:id="rId8" w:type="default"/>
          <w:footerReference r:id="rId9" w:type="even"/>
          <w:pgSz w:w="11900" w:h="16840"/>
          <w:pgMar w:top="1983" w:right="1310" w:bottom="1639" w:left="1734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w w:val="100"/>
          <w:position w:val="0"/>
          <w:lang w:val="zh-CN" w:eastAsia="zh-CN" w:bidi="zh-CN"/>
        </w:rPr>
        <w:t>社会中介机构承接教师培训的现状与对策研</w:t>
      </w:r>
      <w:r>
        <w:rPr>
          <w:rFonts w:hint="eastAsia"/>
          <w:color w:val="000000"/>
          <w:w w:val="100"/>
          <w:position w:val="0"/>
          <w:lang w:val="en-US" w:eastAsia="zh-CN" w:bidi="zh-CN"/>
        </w:rPr>
        <w:t>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6162675</wp:posOffset>
              </wp:positionH>
              <wp:positionV relativeFrom="page">
                <wp:posOffset>9700260</wp:posOffset>
              </wp:positionV>
              <wp:extent cx="438785" cy="1231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5.25pt;margin-top:763.8pt;height:9.7pt;width:34.5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HqvNdgAAAAOAQAADwAAAAAAAAABACAAAAAiAAAAZHJzL2Rvd25yZXYueG1sUEsB&#10;AhQAFAAAAAgAh07iQBbfi+a8AQAAU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1179195</wp:posOffset>
              </wp:positionH>
              <wp:positionV relativeFrom="page">
                <wp:posOffset>9700260</wp:posOffset>
              </wp:positionV>
              <wp:extent cx="434340" cy="1231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3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2.85pt;margin-top:763.8pt;height:9.7pt;width:34.2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VDctb2AAAAA0BAAAPAAAAAAAAAAEAIAAAACIAAABkcnMvZG93bnJldi54bWxQSwEC&#10;FAAUAAAACACHTuJAT7cOvrsBAABS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6180455</wp:posOffset>
              </wp:positionH>
              <wp:positionV relativeFrom="page">
                <wp:posOffset>9700260</wp:posOffset>
              </wp:positionV>
              <wp:extent cx="521335" cy="1187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1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6.65pt;margin-top:763.8pt;height:9.35pt;width:41.05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XJBjZAAAADgEAAA8AAAAAAAAAAQAgAAAAIgAAAGRycy9kb3ducmV2LnhtbFBL&#10;AQIUABQAAAAIAIdO4kBzisvDvAEAAF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6180455</wp:posOffset>
              </wp:positionH>
              <wp:positionV relativeFrom="page">
                <wp:posOffset>9700260</wp:posOffset>
              </wp:positionV>
              <wp:extent cx="521335" cy="1187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1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6.65pt;margin-top:763.8pt;height:9.35pt;width:41.0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lckGNkAAAAOAQAADwAAAAAAAAABACAAAAAiAAAAZHJzL2Rvd25yZXYueG1sUEsB&#10;AhQAFAAAAAgAh07iQC7ZZEm7AQAAU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1306830</wp:posOffset>
              </wp:positionH>
              <wp:positionV relativeFrom="page">
                <wp:posOffset>9700260</wp:posOffset>
              </wp:positionV>
              <wp:extent cx="328930" cy="12827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28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2.9pt;margin-top:763.8pt;height:10.1pt;width:25.9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S2h3XAAAADQEAAA8AAAAAAAAAAQAgAAAAIgAAAGRycy9kb3ducmV2LnhtbFBLAQIU&#10;ABQAAAAIAIdO4kD31rqZuwEAAF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6104255</wp:posOffset>
              </wp:positionH>
              <wp:positionV relativeFrom="page">
                <wp:posOffset>9594850</wp:posOffset>
              </wp:positionV>
              <wp:extent cx="521335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0.65pt;margin-top:755.5pt;height:10.1pt;width:41.05pt;mso-position-horizontal-relative:page;mso-position-vertical-relative:page;mso-wrap-style:none;z-index:-251650048;mso-width-relative:page;mso-height-relative:page;" filled="f" stroked="f" coordsize="21600,21600" o:gfxdata="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epoT2AAAAA4BAAAPAAAAAAAAAAEAIAAAACIAAABkcnMvZG93bnJldi54bWxQSwEC&#10;FAAUAAAACACHTuJAu89BYLsBAABS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9622155</wp:posOffset>
              </wp:positionV>
              <wp:extent cx="525780" cy="123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3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6.6pt;margin-top:757.65pt;height:9.7pt;width:41.4pt;mso-position-horizontal-relative:page;mso-position-vertical-relative:page;mso-wrap-style:none;z-index:-251651072;mso-width-relative:page;mso-height-relative:page;" filled="f" stroked="f" coordsize="21600,21600" o:gfxdata="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TfdCPYAAAADQEAAA8AAAAAAAAAAQAgAAAAIgAAAGRycy9kb3ducmV2LnhtbFBLAQIU&#10;ABQAAAAIAIdO4kBhHwR7ugEAAF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1055370</wp:posOffset>
              </wp:positionH>
              <wp:positionV relativeFrom="page">
                <wp:posOffset>9700260</wp:posOffset>
              </wp:positionV>
              <wp:extent cx="530225" cy="1231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23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3.1pt;margin-top:763.8pt;height:9.7pt;width:41.75pt;mso-position-horizontal-relative:page;mso-position-vertical-relative:page;mso-wrap-style:none;z-index:-251649024;mso-width-relative:page;mso-height-relative:page;" filled="f" stroked="f" coordsize="21600,21600" o:gfxdata="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bu3eTYAAAADQEAAA8AAAAAAAAAAQAgAAAAIgAAAGRycy9kb3ducmV2LnhtbFBLAQIU&#10;ABQAAAAIAIdO4kBGDHFlugEAAF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  <w:r>
                      <w:rPr>
                        <w:rStyle w:val="8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en-US" w:eastAsia="en-US" w:bidi="en-US"/>
      </w:rPr>
    </w:lvl>
  </w:abstractNum>
  <w:abstractNum w:abstractNumId="1">
    <w:nsid w:val="0248C179"/>
    <w:multiLevelType w:val="singleLevel"/>
    <w:tmpl w:val="0248C179"/>
    <w:lvl w:ilvl="0" w:tentative="0">
      <w:start w:val="42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en-US" w:eastAsia="en-US" w:bidi="en-US"/>
      </w:rPr>
    </w:lvl>
  </w:abstractNum>
  <w:abstractNum w:abstractNumId="2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en-US" w:eastAsia="en-US" w:bidi="en-US"/>
      </w:rPr>
    </w:lvl>
  </w:abstractNum>
  <w:abstractNum w:abstractNumId="3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en-US" w:eastAsia="en-US" w:bidi="en-US"/>
      </w:rPr>
    </w:lvl>
  </w:abstractNum>
  <w:abstractNum w:abstractNumId="4">
    <w:nsid w:val="72183CF9"/>
    <w:multiLevelType w:val="singleLevel"/>
    <w:tmpl w:val="72183CF9"/>
    <w:lvl w:ilvl="0" w:tentative="0">
      <w:start w:val="17"/>
      <w:numFmt w:val="decimal"/>
      <w:lvlText w:val="%1."/>
      <w:lvlJc w:val="left"/>
      <w:rPr>
        <w:rFonts w:ascii="PMingLiU" w:hAnsi="PMingLiU" w:eastAsia="PMingLiU" w:cs="PMingLiU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2436"/>
    <w:rsid w:val="3CBD2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6"/>
    <w:basedOn w:val="1"/>
    <w:qFormat/>
    <w:uiPriority w:val="0"/>
    <w:pPr>
      <w:widowControl w:val="0"/>
      <w:shd w:val="clear" w:color="auto" w:fill="FFFFFF"/>
      <w:spacing w:before="380" w:after="660" w:line="605" w:lineRule="exact"/>
      <w:jc w:val="center"/>
    </w:pPr>
    <w:rPr>
      <w:rFonts w:ascii="PMingLiU" w:hAnsi="PMingLiU" w:eastAsia="PMingLiU" w:cs="PMingLiU"/>
      <w:sz w:val="42"/>
      <w:szCs w:val="42"/>
      <w:u w:val="none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FFFFFF"/>
      <w:spacing w:after="380" w:line="300" w:lineRule="exact"/>
      <w:outlineLvl w:val="2"/>
    </w:pPr>
    <w:rPr>
      <w:rFonts w:ascii="PMingLiU" w:hAnsi="PMingLiU" w:eastAsia="PMingLiU" w:cs="PMingLiU"/>
      <w:sz w:val="30"/>
      <w:szCs w:val="30"/>
      <w:u w:val="none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FFFFFF"/>
      <w:spacing w:after="1040" w:line="280" w:lineRule="exact"/>
      <w:ind w:hanging="460"/>
      <w:jc w:val="right"/>
    </w:pPr>
    <w:rPr>
      <w:rFonts w:ascii="PMingLiU" w:hAnsi="PMingLiU" w:eastAsia="PMingLiU" w:cs="PMingLiU"/>
      <w:spacing w:val="20"/>
      <w:sz w:val="28"/>
      <w:szCs w:val="28"/>
      <w:u w:val="none"/>
    </w:rPr>
  </w:style>
  <w:style w:type="paragraph" w:customStyle="1" w:styleId="7">
    <w:name w:val="Header or footer|11"/>
    <w:basedOn w:val="1"/>
    <w:link w:val="9"/>
    <w:qFormat/>
    <w:uiPriority w:val="0"/>
    <w:pPr>
      <w:widowControl w:val="0"/>
      <w:shd w:val="clear" w:color="auto" w:fill="FFFFFF"/>
      <w:spacing w:line="260" w:lineRule="exact"/>
    </w:pPr>
    <w:rPr>
      <w:rFonts w:ascii="PMingLiU" w:hAnsi="PMingLiU" w:eastAsia="PMingLiU" w:cs="PMingLiU"/>
      <w:sz w:val="26"/>
      <w:szCs w:val="26"/>
      <w:u w:val="none"/>
      <w:lang w:val="en-US" w:eastAsia="en-US" w:bidi="en-US"/>
    </w:rPr>
  </w:style>
  <w:style w:type="character" w:customStyle="1" w:styleId="8">
    <w:name w:val="Header or footer|1"/>
    <w:basedOn w:val="9"/>
    <w:unhideWhenUsed/>
    <w:qFormat/>
    <w:uiPriority w:val="0"/>
    <w:rPr>
      <w:color w:val="000000"/>
      <w:spacing w:val="0"/>
      <w:w w:val="100"/>
      <w:position w:val="0"/>
    </w:rPr>
  </w:style>
  <w:style w:type="character" w:customStyle="1" w:styleId="9">
    <w:name w:val="Header or footer|1_"/>
    <w:basedOn w:val="2"/>
    <w:link w:val="7"/>
    <w:qFormat/>
    <w:uiPriority w:val="0"/>
    <w:rPr>
      <w:rFonts w:ascii="PMingLiU" w:hAnsi="PMingLiU" w:eastAsia="PMingLiU" w:cs="PMingLiU"/>
      <w:sz w:val="26"/>
      <w:szCs w:val="26"/>
      <w:u w:val="none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2019-01-25T08:11:00Z</dcterms:created>
  <dc:creator>倩倩倩</dc:creator>
  <cp:lastModifiedBy>倩倩倩</cp:lastModifiedBy>
  <dcterms:modified xsi:type="dcterms:W3CDTF">2019-01-25T08:16:16Z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