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djustRightInd w:val="0"/>
        <w:snapToGrid w:val="0"/>
        <w:rPr>
          <w:rFonts w:hint="eastAsia" w:ascii="黑体" w:hAnsi="黑体" w:eastAsia="黑体"/>
          <w:szCs w:val="32"/>
          <w:lang w:eastAsia="zh-CN"/>
        </w:rPr>
      </w:pPr>
      <w:r>
        <w:rPr>
          <w:rFonts w:hint="eastAsia" w:ascii="黑体" w:hAnsi="黑体" w:eastAsia="黑体"/>
          <w:szCs w:val="32"/>
          <w:lang w:eastAsia="zh-CN"/>
        </w:rPr>
        <w:drawing>
          <wp:inline distT="0" distB="0" distL="114300" distR="114300">
            <wp:extent cx="5271770" cy="7360920"/>
            <wp:effectExtent l="0" t="0" r="11430" b="5080"/>
            <wp:docPr id="3" name="图片 3" descr="微信图片_2021113019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1130192705"/>
                    <pic:cNvPicPr>
                      <a:picLocks noChangeAspect="1"/>
                    </pic:cNvPicPr>
                  </pic:nvPicPr>
                  <pic:blipFill>
                    <a:blip r:embed="rId7"/>
                    <a:stretch>
                      <a:fillRect/>
                    </a:stretch>
                  </pic:blipFill>
                  <pic:spPr>
                    <a:xfrm>
                      <a:off x="0" y="0"/>
                      <a:ext cx="5271770" cy="7360920"/>
                    </a:xfrm>
                    <a:prstGeom prst="rect">
                      <a:avLst/>
                    </a:prstGeom>
                  </pic:spPr>
                </pic:pic>
              </a:graphicData>
            </a:graphic>
          </wp:inline>
        </w:drawing>
      </w:r>
    </w:p>
    <w:p>
      <w:pPr>
        <w:widowControl/>
        <w:snapToGrid w:val="0"/>
        <w:spacing w:line="520" w:lineRule="exact"/>
        <w:ind w:firstLine="640" w:firstLineChars="200"/>
        <w:jc w:val="right"/>
        <w:rPr>
          <w:rFonts w:ascii="Times New Roman" w:hAnsi="Times New Roman" w:eastAsia="仿宋_GB2312"/>
          <w:szCs w:val="32"/>
        </w:rPr>
      </w:pPr>
    </w:p>
    <w:p>
      <w:pPr>
        <w:widowControl/>
        <w:jc w:val="left"/>
      </w:pPr>
    </w:p>
    <w:p>
      <w:pPr>
        <w:widowControl/>
        <w:jc w:val="left"/>
        <w:rPr>
          <w:lang w:val="zh-CN"/>
        </w:rPr>
      </w:pPr>
      <w:r>
        <w:rPr>
          <w:lang w:val="zh-CN"/>
        </w:rPr>
        <w:br w:type="page"/>
      </w: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lang w:val="zh-CN"/>
        </w:rPr>
      </w:pPr>
    </w:p>
    <w:p>
      <w:pPr>
        <w:widowControl/>
        <w:jc w:val="left"/>
        <w:rPr>
          <w:rFonts w:hint="eastAsia"/>
          <w:lang w:val="zh-CN"/>
        </w:rPr>
      </w:pPr>
    </w:p>
    <w:p>
      <w:pPr>
        <w:widowControl/>
        <w:jc w:val="center"/>
        <w:rPr>
          <w:rFonts w:ascii="方正小标宋简体" w:eastAsia="方正小标宋简体"/>
          <w:sz w:val="52"/>
          <w:szCs w:val="52"/>
          <w:lang w:val="zh-CN"/>
        </w:rPr>
      </w:pPr>
      <w:r>
        <w:rPr>
          <w:rFonts w:hint="eastAsia" w:ascii="方正小标宋简体" w:eastAsia="方正小标宋简体"/>
          <w:sz w:val="52"/>
          <w:szCs w:val="52"/>
          <w:lang w:val="zh-CN"/>
        </w:rPr>
        <w:t>湖南艺术职业学院</w:t>
      </w:r>
    </w:p>
    <w:p>
      <w:pPr>
        <w:widowControl/>
        <w:jc w:val="center"/>
        <w:rPr>
          <w:rFonts w:hint="eastAsia" w:ascii="方正小标宋简体" w:eastAsia="方正小标宋简体"/>
          <w:sz w:val="52"/>
          <w:szCs w:val="52"/>
          <w:lang w:val="zh-CN"/>
        </w:rPr>
      </w:pPr>
      <w:r>
        <w:rPr>
          <w:rFonts w:hint="eastAsia" w:ascii="方正小标宋简体" w:eastAsia="方正小标宋简体"/>
          <w:sz w:val="52"/>
          <w:szCs w:val="52"/>
          <w:lang w:val="zh-CN"/>
        </w:rPr>
        <w:t>高等职业教育质量年度报告（2022）</w:t>
      </w:r>
    </w:p>
    <w:p>
      <w:pPr>
        <w:widowControl/>
        <w:jc w:val="left"/>
        <w:rPr>
          <w:lang w:val="zh-CN"/>
        </w:rPr>
      </w:pPr>
      <w:r>
        <w:rPr>
          <w:lang w:val="zh-CN"/>
        </w:rPr>
        <w:br w:type="page"/>
      </w:r>
    </w:p>
    <w:sdt>
      <w:sdtPr>
        <w:rPr>
          <w:b/>
          <w:bCs/>
          <w:sz w:val="21"/>
          <w:szCs w:val="21"/>
          <w:lang w:val="zh-CN"/>
        </w:rPr>
        <w:id w:val="987515271"/>
        <w:docPartObj>
          <w:docPartGallery w:val="Table of Contents"/>
          <w:docPartUnique/>
        </w:docPartObj>
      </w:sdtPr>
      <w:sdtEndPr>
        <w:rPr>
          <w:rFonts w:ascii="等线" w:hAnsi="等线" w:eastAsia="仿宋"/>
          <w:b/>
          <w:bCs/>
          <w:color w:val="auto"/>
          <w:kern w:val="2"/>
          <w:sz w:val="21"/>
          <w:szCs w:val="21"/>
          <w:lang w:val="zh-CN"/>
        </w:rPr>
      </w:sdtEndPr>
      <w:sdtContent>
        <w:p>
          <w:pPr>
            <w:pStyle w:val="19"/>
            <w:tabs>
              <w:tab w:val="left" w:pos="2452"/>
            </w:tabs>
            <w:jc w:val="center"/>
            <w:rPr>
              <w:b/>
              <w:bCs/>
              <w:sz w:val="21"/>
              <w:szCs w:val="21"/>
            </w:rPr>
          </w:pPr>
          <w:r>
            <w:rPr>
              <w:b/>
              <w:bCs/>
              <w:sz w:val="21"/>
              <w:szCs w:val="21"/>
              <w:lang w:val="zh-CN"/>
            </w:rPr>
            <w:t>目录</w:t>
          </w:r>
        </w:p>
        <w:p>
          <w:pPr>
            <w:pStyle w:val="10"/>
            <w:tabs>
              <w:tab w:val="right" w:leader="dot" w:pos="8306"/>
            </w:tabs>
          </w:pPr>
          <w:r>
            <w:rPr>
              <w:sz w:val="21"/>
              <w:szCs w:val="21"/>
            </w:rPr>
            <w:fldChar w:fldCharType="begin"/>
          </w:r>
          <w:r>
            <w:rPr>
              <w:sz w:val="21"/>
              <w:szCs w:val="21"/>
            </w:rPr>
            <w:instrText xml:space="preserve"> TOC \o "1-3" \h \z \u </w:instrText>
          </w:r>
          <w:r>
            <w:rPr>
              <w:sz w:val="21"/>
              <w:szCs w:val="21"/>
            </w:rPr>
            <w:fldChar w:fldCharType="separate"/>
          </w:r>
          <w:r>
            <w:rPr>
              <w:szCs w:val="21"/>
            </w:rPr>
            <w:fldChar w:fldCharType="begin"/>
          </w:r>
          <w:r>
            <w:rPr>
              <w:szCs w:val="21"/>
            </w:rPr>
            <w:instrText xml:space="preserve"> HYPERLINK \l _Toc20029 </w:instrText>
          </w:r>
          <w:r>
            <w:rPr>
              <w:szCs w:val="21"/>
            </w:rPr>
            <w:fldChar w:fldCharType="separate"/>
          </w:r>
          <w:r>
            <w:rPr>
              <w:rFonts w:hint="eastAsia"/>
            </w:rPr>
            <w:t>1</w:t>
          </w:r>
          <w:r>
            <w:t>.</w:t>
          </w:r>
          <w:r>
            <w:rPr>
              <w:rFonts w:hint="eastAsia"/>
            </w:rPr>
            <w:t>学生发展</w:t>
          </w:r>
          <w:r>
            <w:tab/>
          </w:r>
          <w:r>
            <w:fldChar w:fldCharType="begin"/>
          </w:r>
          <w:r>
            <w:instrText xml:space="preserve"> PAGEREF _Toc20029 \h </w:instrText>
          </w:r>
          <w:r>
            <w:fldChar w:fldCharType="separate"/>
          </w:r>
          <w:r>
            <w:t>1</w:t>
          </w:r>
          <w:r>
            <w:fldChar w:fldCharType="end"/>
          </w:r>
          <w:r>
            <w:rPr>
              <w:szCs w:val="21"/>
            </w:rPr>
            <w:fldChar w:fldCharType="end"/>
          </w:r>
        </w:p>
        <w:p>
          <w:pPr>
            <w:pStyle w:val="7"/>
            <w:tabs>
              <w:tab w:val="right" w:leader="dot" w:pos="8306"/>
            </w:tabs>
          </w:pPr>
          <w:r>
            <w:rPr>
              <w:bCs/>
              <w:lang w:val="zh-CN"/>
            </w:rPr>
            <w:fldChar w:fldCharType="begin"/>
          </w:r>
          <w:r>
            <w:rPr>
              <w:bCs/>
              <w:lang w:val="zh-CN"/>
            </w:rPr>
            <w:instrText xml:space="preserve"> HYPERLINK \l _Toc9332 </w:instrText>
          </w:r>
          <w:r>
            <w:rPr>
              <w:bCs/>
              <w:lang w:val="zh-CN"/>
            </w:rPr>
            <w:fldChar w:fldCharType="separate"/>
          </w:r>
          <w:r>
            <w:rPr>
              <w:rFonts w:hint="eastAsia"/>
              <w:bCs w:val="0"/>
            </w:rPr>
            <w:t>1</w:t>
          </w:r>
          <w:r>
            <w:rPr>
              <w:bCs w:val="0"/>
            </w:rPr>
            <w:t>.1</w:t>
          </w:r>
          <w:r>
            <w:rPr>
              <w:rFonts w:hint="eastAsia"/>
              <w:bCs w:val="0"/>
            </w:rPr>
            <w:t>育人成效</w:t>
          </w:r>
          <w:r>
            <w:tab/>
          </w:r>
          <w:r>
            <w:fldChar w:fldCharType="begin"/>
          </w:r>
          <w:r>
            <w:instrText xml:space="preserve"> PAGEREF _Toc9332 \h </w:instrText>
          </w:r>
          <w:r>
            <w:fldChar w:fldCharType="separate"/>
          </w:r>
          <w:r>
            <w:t>1</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_Toc28633 </w:instrText>
          </w:r>
          <w:r>
            <w:rPr>
              <w:bCs/>
              <w:lang w:val="zh-CN"/>
            </w:rPr>
            <w:fldChar w:fldCharType="separate"/>
          </w:r>
          <w:r>
            <w:rPr>
              <w:rFonts w:hint="eastAsia"/>
              <w:bCs w:val="0"/>
            </w:rPr>
            <w:t>1</w:t>
          </w:r>
          <w:r>
            <w:rPr>
              <w:bCs w:val="0"/>
            </w:rPr>
            <w:t>.1.1</w:t>
          </w:r>
          <w:r>
            <w:rPr>
              <w:rFonts w:hint="eastAsia"/>
              <w:bCs w:val="0"/>
            </w:rPr>
            <w:t>基本素养</w:t>
          </w:r>
          <w:r>
            <w:tab/>
          </w:r>
          <w:r>
            <w:fldChar w:fldCharType="begin"/>
          </w:r>
          <w:r>
            <w:instrText xml:space="preserve"> PAGEREF _Toc28633 \h </w:instrText>
          </w:r>
          <w:r>
            <w:fldChar w:fldCharType="separate"/>
          </w:r>
          <w:r>
            <w:t>1</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_Toc7937 </w:instrText>
          </w:r>
          <w:r>
            <w:rPr>
              <w:bCs/>
              <w:lang w:val="zh-CN"/>
            </w:rPr>
            <w:fldChar w:fldCharType="separate"/>
          </w:r>
          <w:r>
            <w:rPr>
              <w:rFonts w:hint="eastAsia"/>
              <w:bCs w:val="0"/>
            </w:rPr>
            <w:t>1</w:t>
          </w:r>
          <w:r>
            <w:rPr>
              <w:bCs w:val="0"/>
            </w:rPr>
            <w:t>.1.2</w:t>
          </w:r>
          <w:r>
            <w:rPr>
              <w:rFonts w:hint="eastAsia"/>
              <w:bCs w:val="0"/>
            </w:rPr>
            <w:t>实践能力</w:t>
          </w:r>
          <w:r>
            <w:tab/>
          </w:r>
          <w:r>
            <w:fldChar w:fldCharType="begin"/>
          </w:r>
          <w:r>
            <w:instrText xml:space="preserve"> PAGEREF _Toc7937 \h </w:instrText>
          </w:r>
          <w:r>
            <w:fldChar w:fldCharType="separate"/>
          </w:r>
          <w:r>
            <w:t>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_Toc11058 </w:instrText>
          </w:r>
          <w:r>
            <w:rPr>
              <w:bCs/>
              <w:lang w:val="zh-CN"/>
            </w:rPr>
            <w:fldChar w:fldCharType="separate"/>
          </w:r>
          <w:r>
            <w:rPr>
              <w:rFonts w:hint="eastAsia"/>
              <w:bCs w:val="0"/>
            </w:rPr>
            <w:t>1</w:t>
          </w:r>
          <w:r>
            <w:rPr>
              <w:bCs w:val="0"/>
            </w:rPr>
            <w:t>.1.3</w:t>
          </w:r>
          <w:r>
            <w:rPr>
              <w:rFonts w:hint="eastAsia"/>
              <w:bCs w:val="0"/>
            </w:rPr>
            <w:t>身</w:t>
          </w:r>
          <w:r>
            <w:rPr>
              <w:rFonts w:hint="eastAsia" w:ascii="宋体" w:hAnsi="宋体"/>
              <w:bCs w:val="0"/>
            </w:rPr>
            <w:t>心</w:t>
          </w:r>
          <w:r>
            <w:rPr>
              <w:rFonts w:hint="eastAsia"/>
              <w:bCs w:val="0"/>
            </w:rPr>
            <w:t>素质</w:t>
          </w:r>
          <w:r>
            <w:tab/>
          </w:r>
          <w:r>
            <w:fldChar w:fldCharType="begin"/>
          </w:r>
          <w:r>
            <w:instrText xml:space="preserve"> PAGEREF _Toc11058 \h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_Toc4244 </w:instrText>
          </w:r>
          <w:r>
            <w:rPr>
              <w:bCs/>
              <w:lang w:val="zh-CN"/>
            </w:rPr>
            <w:fldChar w:fldCharType="separate"/>
          </w:r>
          <w:r>
            <w:rPr>
              <w:rFonts w:hint="eastAsia"/>
              <w:bCs w:val="0"/>
            </w:rPr>
            <w:t>1</w:t>
          </w:r>
          <w:r>
            <w:rPr>
              <w:bCs w:val="0"/>
            </w:rPr>
            <w:t>.1.4</w:t>
          </w:r>
          <w:r>
            <w:rPr>
              <w:rFonts w:hint="eastAsia"/>
              <w:bCs w:val="0"/>
            </w:rPr>
            <w:t>学生服务</w:t>
          </w:r>
          <w:r>
            <w:tab/>
          </w:r>
          <w:r>
            <w:fldChar w:fldCharType="begin"/>
          </w:r>
          <w:r>
            <w:instrText xml:space="preserve"> PAGEREF _Toc4244 \h </w:instrText>
          </w:r>
          <w:r>
            <w:fldChar w:fldCharType="separate"/>
          </w:r>
          <w:r>
            <w:t>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_Toc32191 </w:instrText>
          </w:r>
          <w:r>
            <w:rPr>
              <w:bCs/>
              <w:lang w:val="zh-CN"/>
            </w:rPr>
            <w:fldChar w:fldCharType="separate"/>
          </w:r>
          <w:r>
            <w:rPr>
              <w:rFonts w:hint="eastAsia"/>
            </w:rPr>
            <w:t>1</w:t>
          </w:r>
          <w:r>
            <w:t>.2</w:t>
          </w:r>
          <w:r>
            <w:rPr>
              <w:rFonts w:hint="eastAsia"/>
            </w:rPr>
            <w:t>就业质量</w:t>
          </w:r>
          <w:r>
            <w:tab/>
          </w:r>
          <w:r>
            <w:fldChar w:fldCharType="begin"/>
          </w:r>
          <w:r>
            <w:instrText xml:space="preserve"> PAGEREF _Toc32191 \h </w:instrText>
          </w:r>
          <w:r>
            <w:fldChar w:fldCharType="separate"/>
          </w:r>
          <w:r>
            <w:t>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_Toc27836 </w:instrText>
          </w:r>
          <w:r>
            <w:rPr>
              <w:bCs/>
              <w:lang w:val="zh-CN"/>
            </w:rPr>
            <w:fldChar w:fldCharType="separate"/>
          </w:r>
          <w:r>
            <w:rPr>
              <w:rFonts w:hint="eastAsia"/>
              <w:bCs w:val="0"/>
            </w:rPr>
            <w:t>1</w:t>
          </w:r>
          <w:r>
            <w:rPr>
              <w:bCs w:val="0"/>
            </w:rPr>
            <w:t>.2.1</w:t>
          </w:r>
          <w:r>
            <w:rPr>
              <w:rFonts w:hint="eastAsia"/>
              <w:bCs w:val="0"/>
            </w:rPr>
            <w:t>就业率</w:t>
          </w:r>
          <w:r>
            <w:tab/>
          </w:r>
          <w:r>
            <w:fldChar w:fldCharType="begin"/>
          </w:r>
          <w:r>
            <w:instrText xml:space="preserve"> PAGEREF _Toc27836 \h </w:instrText>
          </w:r>
          <w:r>
            <w:fldChar w:fldCharType="separate"/>
          </w:r>
          <w:r>
            <w:t>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_Toc4348 </w:instrText>
          </w:r>
          <w:r>
            <w:rPr>
              <w:bCs/>
              <w:lang w:val="zh-CN"/>
            </w:rPr>
            <w:fldChar w:fldCharType="separate"/>
          </w:r>
          <w:r>
            <w:rPr>
              <w:rFonts w:hint="eastAsia"/>
              <w:bCs w:val="0"/>
            </w:rPr>
            <w:t>1.</w:t>
          </w:r>
          <w:r>
            <w:rPr>
              <w:bCs w:val="0"/>
            </w:rPr>
            <w:t>2.2</w:t>
          </w:r>
          <w:r>
            <w:rPr>
              <w:rFonts w:hint="eastAsia"/>
              <w:bCs w:val="0"/>
            </w:rPr>
            <w:t>专业相关度</w:t>
          </w:r>
          <w:r>
            <w:tab/>
          </w:r>
          <w:r>
            <w:fldChar w:fldCharType="begin"/>
          </w:r>
          <w:r>
            <w:instrText xml:space="preserve"> PAGEREF _Toc4348 \h </w:instrText>
          </w:r>
          <w:r>
            <w:fldChar w:fldCharType="separate"/>
          </w:r>
          <w:r>
            <w:t>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_Toc21124 </w:instrText>
          </w:r>
          <w:r>
            <w:rPr>
              <w:bCs/>
              <w:lang w:val="zh-CN"/>
            </w:rPr>
            <w:fldChar w:fldCharType="separate"/>
          </w:r>
          <w:r>
            <w:rPr>
              <w:rFonts w:hint="eastAsia"/>
              <w:bCs w:val="0"/>
            </w:rPr>
            <w:t>1</w:t>
          </w:r>
          <w:r>
            <w:rPr>
              <w:bCs w:val="0"/>
            </w:rPr>
            <w:t>.2.3</w:t>
          </w:r>
          <w:r>
            <w:rPr>
              <w:rFonts w:hint="eastAsia"/>
              <w:bCs w:val="0"/>
            </w:rPr>
            <w:t>就业起薪点</w:t>
          </w:r>
          <w:r>
            <w:tab/>
          </w:r>
          <w:r>
            <w:fldChar w:fldCharType="begin"/>
          </w:r>
          <w:r>
            <w:instrText xml:space="preserve"> PAGEREF _Toc21124 \h </w:instrText>
          </w:r>
          <w:r>
            <w:fldChar w:fldCharType="separate"/>
          </w:r>
          <w:r>
            <w:t>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_Toc15683 </w:instrText>
          </w:r>
          <w:r>
            <w:rPr>
              <w:bCs/>
              <w:lang w:val="zh-CN"/>
            </w:rPr>
            <w:fldChar w:fldCharType="separate"/>
          </w:r>
          <w:r>
            <w:rPr>
              <w:rFonts w:hint="eastAsia"/>
              <w:bCs w:val="0"/>
            </w:rPr>
            <w:t>1</w:t>
          </w:r>
          <w:r>
            <w:rPr>
              <w:bCs w:val="0"/>
            </w:rPr>
            <w:t>.2.4</w:t>
          </w:r>
          <w:r>
            <w:rPr>
              <w:rFonts w:hint="eastAsia"/>
              <w:bCs w:val="0"/>
            </w:rPr>
            <w:t>就业满意度</w:t>
          </w:r>
          <w:r>
            <w:tab/>
          </w:r>
          <w:r>
            <w:fldChar w:fldCharType="begin"/>
          </w:r>
          <w:r>
            <w:instrText xml:space="preserve"> PAGEREF _Toc15683 \h </w:instrText>
          </w:r>
          <w:r>
            <w:fldChar w:fldCharType="separate"/>
          </w:r>
          <w:r>
            <w:t>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_Toc115 </w:instrText>
          </w:r>
          <w:r>
            <w:rPr>
              <w:bCs/>
              <w:lang w:val="zh-CN"/>
            </w:rPr>
            <w:fldChar w:fldCharType="separate"/>
          </w:r>
          <w:r>
            <w:rPr>
              <w:rFonts w:hint="eastAsia"/>
            </w:rPr>
            <w:t>1</w:t>
          </w:r>
          <w:r>
            <w:t>.3</w:t>
          </w:r>
          <w:r>
            <w:rPr>
              <w:rFonts w:hint="eastAsia"/>
            </w:rPr>
            <w:t>成长成才</w:t>
          </w:r>
          <w:r>
            <w:tab/>
          </w:r>
          <w:r>
            <w:fldChar w:fldCharType="begin"/>
          </w:r>
          <w:r>
            <w:instrText xml:space="preserve"> PAGEREF _Toc115 \h </w:instrText>
          </w:r>
          <w:r>
            <w:fldChar w:fldCharType="separate"/>
          </w:r>
          <w:r>
            <w:t>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_Toc14407 </w:instrText>
          </w:r>
          <w:r>
            <w:rPr>
              <w:bCs/>
              <w:lang w:val="zh-CN"/>
            </w:rPr>
            <w:fldChar w:fldCharType="separate"/>
          </w:r>
          <w:r>
            <w:rPr>
              <w:rFonts w:hint="eastAsia"/>
              <w:bCs w:val="0"/>
            </w:rPr>
            <w:t>1</w:t>
          </w:r>
          <w:r>
            <w:rPr>
              <w:bCs w:val="0"/>
            </w:rPr>
            <w:t>.3.1</w:t>
          </w:r>
          <w:r>
            <w:rPr>
              <w:rFonts w:hint="eastAsia"/>
              <w:bCs w:val="0"/>
            </w:rPr>
            <w:t>毕业生平均月收入呈上升趋势</w:t>
          </w:r>
          <w:r>
            <w:tab/>
          </w:r>
          <w:r>
            <w:fldChar w:fldCharType="begin"/>
          </w:r>
          <w:r>
            <w:instrText xml:space="preserve"> PAGEREF _Toc14407 \h </w:instrText>
          </w:r>
          <w:r>
            <w:fldChar w:fldCharType="separate"/>
          </w:r>
          <w:r>
            <w:t>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_Toc10644 </w:instrText>
          </w:r>
          <w:r>
            <w:rPr>
              <w:bCs/>
              <w:lang w:val="zh-CN"/>
            </w:rPr>
            <w:fldChar w:fldCharType="separate"/>
          </w:r>
          <w:r>
            <w:rPr>
              <w:rFonts w:hint="eastAsia"/>
              <w:bCs w:val="0"/>
            </w:rPr>
            <w:t>1</w:t>
          </w:r>
          <w:r>
            <w:rPr>
              <w:bCs w:val="0"/>
            </w:rPr>
            <w:t>.3.2</w:t>
          </w:r>
          <w:r>
            <w:rPr>
              <w:rFonts w:hint="eastAsia"/>
              <w:bCs w:val="0"/>
            </w:rPr>
            <w:t>职位晋升</w:t>
          </w:r>
          <w:r>
            <w:tab/>
          </w:r>
          <w:r>
            <w:fldChar w:fldCharType="begin"/>
          </w:r>
          <w:r>
            <w:instrText xml:space="preserve"> PAGEREF _Toc10644 \h </w:instrText>
          </w:r>
          <w:r>
            <w:fldChar w:fldCharType="separate"/>
          </w:r>
          <w:r>
            <w:t>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_Toc29826 </w:instrText>
          </w:r>
          <w:r>
            <w:rPr>
              <w:bCs/>
              <w:lang w:val="zh-CN"/>
            </w:rPr>
            <w:fldChar w:fldCharType="separate"/>
          </w:r>
          <w:r>
            <w:rPr>
              <w:rFonts w:hint="eastAsia"/>
              <w:bCs w:val="0"/>
            </w:rPr>
            <w:t>1</w:t>
          </w:r>
          <w:r>
            <w:rPr>
              <w:bCs w:val="0"/>
            </w:rPr>
            <w:t>.3.3</w:t>
          </w:r>
          <w:r>
            <w:rPr>
              <w:rFonts w:hint="eastAsia"/>
              <w:bCs w:val="0"/>
            </w:rPr>
            <w:t>职业稳定性</w:t>
          </w:r>
          <w:r>
            <w:tab/>
          </w:r>
          <w:r>
            <w:fldChar w:fldCharType="begin"/>
          </w:r>
          <w:r>
            <w:instrText xml:space="preserve"> PAGEREF _Toc29826 \h </w:instrText>
          </w:r>
          <w:r>
            <w:fldChar w:fldCharType="separate"/>
          </w:r>
          <w:r>
            <w:t>9</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_Toc15270 </w:instrText>
          </w:r>
          <w:r>
            <w:rPr>
              <w:bCs/>
              <w:lang w:val="zh-CN"/>
            </w:rPr>
            <w:fldChar w:fldCharType="separate"/>
          </w:r>
          <w:r>
            <w:rPr>
              <w:rFonts w:hint="eastAsia"/>
            </w:rPr>
            <w:t>1</w:t>
          </w:r>
          <w:r>
            <w:t>.4</w:t>
          </w:r>
          <w:r>
            <w:rPr>
              <w:rFonts w:hint="eastAsia"/>
            </w:rPr>
            <w:t>创新创业</w:t>
          </w:r>
          <w:r>
            <w:tab/>
          </w:r>
          <w:r>
            <w:fldChar w:fldCharType="begin"/>
          </w:r>
          <w:r>
            <w:instrText xml:space="preserve"> PAGEREF _Toc15270 \h </w:instrText>
          </w:r>
          <w:r>
            <w:fldChar w:fldCharType="separate"/>
          </w:r>
          <w:r>
            <w:t>10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_Toc8481 </w:instrText>
          </w:r>
          <w:r>
            <w:rPr>
              <w:bCs/>
              <w:lang w:val="zh-CN"/>
            </w:rPr>
            <w:fldChar w:fldCharType="separate"/>
          </w:r>
          <w:r>
            <w:rPr>
              <w:bCs w:val="0"/>
            </w:rPr>
            <w:t>1.4.1</w:t>
          </w:r>
          <w:r>
            <w:rPr>
              <w:rFonts w:hint="eastAsia"/>
              <w:bCs w:val="0"/>
            </w:rPr>
            <w:t>创新能力逐步增强</w:t>
          </w:r>
          <w:r>
            <w:tab/>
          </w:r>
          <w:r>
            <w:fldChar w:fldCharType="begin"/>
          </w:r>
          <w:r>
            <w:instrText xml:space="preserve"> PAGEREF _Toc8481 \h </w:instrText>
          </w:r>
          <w:r>
            <w:fldChar w:fldCharType="separate"/>
          </w:r>
          <w:r>
            <w:t>10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_Toc26597 </w:instrText>
          </w:r>
          <w:r>
            <w:rPr>
              <w:bCs/>
              <w:lang w:val="zh-CN"/>
            </w:rPr>
            <w:fldChar w:fldCharType="separate"/>
          </w:r>
          <w:r>
            <w:rPr>
              <w:rFonts w:hint="eastAsia"/>
              <w:bCs w:val="0"/>
            </w:rPr>
            <w:t>1</w:t>
          </w:r>
          <w:r>
            <w:rPr>
              <w:bCs w:val="0"/>
            </w:rPr>
            <w:t>.4.2</w:t>
          </w:r>
          <w:r>
            <w:rPr>
              <w:rFonts w:hint="eastAsia"/>
              <w:bCs w:val="0"/>
            </w:rPr>
            <w:t>积极营造创新创业教育氛围</w:t>
          </w:r>
          <w:r>
            <w:tab/>
          </w:r>
          <w:r>
            <w:fldChar w:fldCharType="begin"/>
          </w:r>
          <w:r>
            <w:instrText xml:space="preserve"> PAGEREF _Toc26597 \h </w:instrText>
          </w:r>
          <w:r>
            <w:fldChar w:fldCharType="separate"/>
          </w:r>
          <w:r>
            <w:t>12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_Toc30252 </w:instrText>
          </w:r>
          <w:r>
            <w:rPr>
              <w:bCs/>
              <w:lang w:val="zh-CN"/>
            </w:rPr>
            <w:fldChar w:fldCharType="separate"/>
          </w:r>
          <w:r>
            <w:rPr>
              <w:rFonts w:hint="eastAsia"/>
              <w:bCs w:val="0"/>
            </w:rPr>
            <w:t>1</w:t>
          </w:r>
          <w:r>
            <w:rPr>
              <w:bCs w:val="0"/>
            </w:rPr>
            <w:t>.4.3</w:t>
          </w:r>
          <w:r>
            <w:rPr>
              <w:rFonts w:hint="eastAsia"/>
              <w:bCs w:val="0"/>
            </w:rPr>
            <w:t>自主创业团队显著增加</w:t>
          </w:r>
          <w:r>
            <w:tab/>
          </w:r>
          <w:r>
            <w:fldChar w:fldCharType="begin"/>
          </w:r>
          <w:r>
            <w:instrText xml:space="preserve"> PAGEREF _Toc30252 \h </w:instrText>
          </w:r>
          <w:r>
            <w:fldChar w:fldCharType="separate"/>
          </w:r>
          <w:r>
            <w:t>12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_Toc2829 </w:instrText>
          </w:r>
          <w:r>
            <w:rPr>
              <w:bCs/>
              <w:lang w:val="zh-CN"/>
            </w:rPr>
            <w:fldChar w:fldCharType="separate"/>
          </w:r>
          <w:r>
            <w:rPr>
              <w:rFonts w:hint="eastAsia"/>
            </w:rPr>
            <w:t>2教学改革</w:t>
          </w:r>
          <w:r>
            <w:tab/>
          </w:r>
          <w:r>
            <w:fldChar w:fldCharType="begin"/>
          </w:r>
          <w:r>
            <w:instrText xml:space="preserve"> PAGEREF _Toc2829 \h </w:instrText>
          </w:r>
          <w:r>
            <w:fldChar w:fldCharType="separate"/>
          </w:r>
          <w:r>
            <w:t>13</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_Toc5879 </w:instrText>
          </w:r>
          <w:r>
            <w:rPr>
              <w:bCs/>
              <w:lang w:val="zh-CN"/>
            </w:rPr>
            <w:fldChar w:fldCharType="separate"/>
          </w:r>
          <w:r>
            <w:rPr>
              <w:rFonts w:hint="eastAsia"/>
            </w:rPr>
            <w:t>2</w:t>
          </w:r>
          <w:r>
            <w:t>.1</w:t>
          </w:r>
          <w:r>
            <w:rPr>
              <w:rFonts w:hint="eastAsia"/>
            </w:rPr>
            <w:t>立德树人</w:t>
          </w:r>
          <w:r>
            <w:tab/>
          </w:r>
          <w:r>
            <w:fldChar w:fldCharType="begin"/>
          </w:r>
          <w:r>
            <w:instrText xml:space="preserve"> PAGEREF _Toc5879 \h </w:instrText>
          </w:r>
          <w:r>
            <w:fldChar w:fldCharType="separate"/>
          </w:r>
          <w:r>
            <w:t>13</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_Toc13959 </w:instrText>
          </w:r>
          <w:r>
            <w:rPr>
              <w:bCs/>
              <w:lang w:val="zh-CN"/>
            </w:rPr>
            <w:fldChar w:fldCharType="separate"/>
          </w:r>
          <w:r>
            <w:rPr>
              <w:rFonts w:hint="eastAsia"/>
              <w:bCs w:val="0"/>
            </w:rPr>
            <w:t>2</w:t>
          </w:r>
          <w:r>
            <w:rPr>
              <w:bCs w:val="0"/>
            </w:rPr>
            <w:t>.1.1</w:t>
          </w:r>
          <w:r>
            <w:rPr>
              <w:rFonts w:hint="eastAsia"/>
              <w:bCs w:val="0"/>
            </w:rPr>
            <w:t>思想政治教育</w:t>
          </w:r>
          <w:r>
            <w:tab/>
          </w:r>
          <w:r>
            <w:fldChar w:fldCharType="begin"/>
          </w:r>
          <w:r>
            <w:instrText xml:space="preserve"> PAGEREF _Toc13959 \h </w:instrText>
          </w:r>
          <w:r>
            <w:fldChar w:fldCharType="separate"/>
          </w:r>
          <w:r>
            <w:t>13</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_Toc25891 </w:instrText>
          </w:r>
          <w:r>
            <w:rPr>
              <w:bCs/>
              <w:lang w:val="zh-CN"/>
            </w:rPr>
            <w:fldChar w:fldCharType="separate"/>
          </w:r>
          <w:r>
            <w:rPr>
              <w:bCs w:val="0"/>
            </w:rPr>
            <w:t>2.1.2“</w:t>
          </w:r>
          <w:r>
            <w:rPr>
              <w:rFonts w:hint="eastAsia"/>
              <w:bCs w:val="0"/>
            </w:rPr>
            <w:t>三全育人</w:t>
          </w:r>
          <w:r>
            <w:rPr>
              <w:bCs w:val="0"/>
            </w:rPr>
            <w:t>”</w:t>
          </w:r>
          <w:r>
            <w:tab/>
          </w:r>
          <w:r>
            <w:fldChar w:fldCharType="begin"/>
          </w:r>
          <w:r>
            <w:instrText xml:space="preserve"> PAGEREF _Toc25891 \h </w:instrText>
          </w:r>
          <w:r>
            <w:fldChar w:fldCharType="separate"/>
          </w:r>
          <w:r>
            <w:t>15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_Toc27610 </w:instrText>
          </w:r>
          <w:r>
            <w:rPr>
              <w:bCs/>
              <w:lang w:val="zh-CN"/>
            </w:rPr>
            <w:fldChar w:fldCharType="separate"/>
          </w:r>
          <w:r>
            <w:rPr>
              <w:rFonts w:hint="eastAsia"/>
              <w:bCs w:val="0"/>
            </w:rPr>
            <w:t>2</w:t>
          </w:r>
          <w:r>
            <w:rPr>
              <w:bCs w:val="0"/>
            </w:rPr>
            <w:t>.1.3</w:t>
          </w:r>
          <w:r>
            <w:rPr>
              <w:rFonts w:hint="eastAsia"/>
              <w:bCs w:val="0"/>
            </w:rPr>
            <w:t>劳动教育</w:t>
          </w:r>
          <w:r>
            <w:tab/>
          </w:r>
          <w:r>
            <w:fldChar w:fldCharType="begin"/>
          </w:r>
          <w:r>
            <w:instrText xml:space="preserve"> PAGEREF _Toc27610 \h </w:instrText>
          </w:r>
          <w:r>
            <w:fldChar w:fldCharType="separate"/>
          </w:r>
          <w:r>
            <w:t>16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_Toc12480 </w:instrText>
          </w:r>
          <w:r>
            <w:rPr>
              <w:bCs/>
              <w:lang w:val="zh-CN"/>
            </w:rPr>
            <w:fldChar w:fldCharType="separate"/>
          </w:r>
          <w:r>
            <w:rPr>
              <w:rFonts w:hint="eastAsia"/>
              <w:bCs w:val="0"/>
            </w:rPr>
            <w:t>2</w:t>
          </w:r>
          <w:r>
            <w:rPr>
              <w:bCs w:val="0"/>
            </w:rPr>
            <w:t>.1.4</w:t>
          </w:r>
          <w:r>
            <w:rPr>
              <w:rFonts w:hint="eastAsia"/>
              <w:bCs w:val="0"/>
            </w:rPr>
            <w:t>工匠精神培育和传承</w:t>
          </w:r>
          <w:r>
            <w:tab/>
          </w:r>
          <w:r>
            <w:fldChar w:fldCharType="begin"/>
          </w:r>
          <w:r>
            <w:instrText xml:space="preserve"> PAGEREF _Toc12480 \h </w:instrText>
          </w:r>
          <w:r>
            <w:fldChar w:fldCharType="separate"/>
          </w:r>
          <w:r>
            <w:t>16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_Toc25822 </w:instrText>
          </w:r>
          <w:r>
            <w:rPr>
              <w:bCs/>
              <w:lang w:val="zh-CN"/>
            </w:rPr>
            <w:fldChar w:fldCharType="separate"/>
          </w:r>
          <w:r>
            <w:rPr>
              <w:rFonts w:hint="eastAsia"/>
            </w:rPr>
            <w:t>2</w:t>
          </w:r>
          <w:r>
            <w:t>.2</w:t>
          </w:r>
          <w:r>
            <w:rPr>
              <w:rFonts w:hint="eastAsia"/>
            </w:rPr>
            <w:t>专业群建设</w:t>
          </w:r>
          <w:r>
            <w:tab/>
          </w:r>
          <w:r>
            <w:fldChar w:fldCharType="begin"/>
          </w:r>
          <w:r>
            <w:instrText xml:space="preserve"> PAGEREF _Toc25822 \h </w:instrText>
          </w:r>
          <w:r>
            <w:fldChar w:fldCharType="separate"/>
          </w:r>
          <w:r>
            <w:t>17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_Toc22085 </w:instrText>
          </w:r>
          <w:r>
            <w:rPr>
              <w:bCs/>
              <w:lang w:val="zh-CN"/>
            </w:rPr>
            <w:fldChar w:fldCharType="separate"/>
          </w:r>
          <w:r>
            <w:rPr>
              <w:rFonts w:hint="eastAsia"/>
              <w:bCs w:val="0"/>
            </w:rPr>
            <w:t>2</w:t>
          </w:r>
          <w:r>
            <w:rPr>
              <w:bCs w:val="0"/>
            </w:rPr>
            <w:t>.2.1</w:t>
          </w:r>
          <w:r>
            <w:rPr>
              <w:rFonts w:hint="eastAsia"/>
              <w:bCs w:val="0"/>
            </w:rPr>
            <w:t>优化调整专业结构</w:t>
          </w:r>
          <w:r>
            <w:tab/>
          </w:r>
          <w:r>
            <w:fldChar w:fldCharType="begin"/>
          </w:r>
          <w:r>
            <w:instrText xml:space="preserve"> PAGEREF _Toc22085 \h </w:instrText>
          </w:r>
          <w:r>
            <w:fldChar w:fldCharType="separate"/>
          </w:r>
          <w:r>
            <w:t>17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_Toc22078 </w:instrText>
          </w:r>
          <w:r>
            <w:rPr>
              <w:bCs/>
              <w:lang w:val="zh-CN"/>
            </w:rPr>
            <w:fldChar w:fldCharType="separate"/>
          </w:r>
          <w:r>
            <w:rPr>
              <w:rFonts w:hint="eastAsia"/>
              <w:bCs w:val="0"/>
            </w:rPr>
            <w:t>2</w:t>
          </w:r>
          <w:r>
            <w:rPr>
              <w:bCs w:val="0"/>
            </w:rPr>
            <w:t>.2.2</w:t>
          </w:r>
          <w:r>
            <w:rPr>
              <w:rFonts w:hint="eastAsia"/>
              <w:bCs w:val="0"/>
            </w:rPr>
            <w:t>校企共建实践教学基地</w:t>
          </w:r>
          <w:r>
            <w:tab/>
          </w:r>
          <w:r>
            <w:fldChar w:fldCharType="begin"/>
          </w:r>
          <w:r>
            <w:instrText xml:space="preserve"> PAGEREF _Toc22078 \h </w:instrText>
          </w:r>
          <w:r>
            <w:fldChar w:fldCharType="separate"/>
          </w:r>
          <w:r>
            <w:t>18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_Toc8568 </w:instrText>
          </w:r>
          <w:r>
            <w:rPr>
              <w:bCs/>
              <w:lang w:val="zh-CN"/>
            </w:rPr>
            <w:fldChar w:fldCharType="separate"/>
          </w:r>
          <w:r>
            <w:rPr>
              <w:rFonts w:hint="eastAsia"/>
              <w:bCs w:val="0"/>
            </w:rPr>
            <w:t>2</w:t>
          </w:r>
          <w:r>
            <w:rPr>
              <w:bCs w:val="0"/>
            </w:rPr>
            <w:t>.2.3</w:t>
          </w:r>
          <w:r>
            <w:rPr>
              <w:rFonts w:hint="eastAsia"/>
              <w:bCs w:val="0"/>
            </w:rPr>
            <w:t>校企共建精品课程</w:t>
          </w:r>
          <w:r>
            <w:tab/>
          </w:r>
          <w:r>
            <w:fldChar w:fldCharType="begin"/>
          </w:r>
          <w:r>
            <w:instrText xml:space="preserve"> PAGEREF _Toc8568 \h </w:instrText>
          </w:r>
          <w:r>
            <w:fldChar w:fldCharType="separate"/>
          </w:r>
          <w:r>
            <w:t>19</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_Toc18250 </w:instrText>
          </w:r>
          <w:r>
            <w:rPr>
              <w:bCs/>
              <w:lang w:val="zh-CN"/>
            </w:rPr>
            <w:fldChar w:fldCharType="separate"/>
          </w:r>
          <w:r>
            <w:rPr>
              <w:rFonts w:hint="eastAsia"/>
            </w:rPr>
            <w:t>2</w:t>
          </w:r>
          <w:r>
            <w:t>.3</w:t>
          </w:r>
          <w:r>
            <w:rPr>
              <w:rFonts w:hint="eastAsia"/>
            </w:rPr>
            <w:t>校企双元育人</w:t>
          </w:r>
          <w:r>
            <w:tab/>
          </w:r>
          <w:r>
            <w:fldChar w:fldCharType="begin"/>
          </w:r>
          <w:r>
            <w:instrText xml:space="preserve"> PAGEREF _Toc18250 \h </w:instrText>
          </w:r>
          <w:r>
            <w:fldChar w:fldCharType="separate"/>
          </w:r>
          <w:r>
            <w:t>20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_Toc17541 </w:instrText>
          </w:r>
          <w:r>
            <w:rPr>
              <w:bCs/>
              <w:lang w:val="zh-CN"/>
            </w:rPr>
            <w:fldChar w:fldCharType="separate"/>
          </w:r>
          <w:r>
            <w:rPr>
              <w:rFonts w:hint="eastAsia"/>
              <w:bCs w:val="0"/>
            </w:rPr>
            <w:t>2</w:t>
          </w:r>
          <w:r>
            <w:rPr>
              <w:bCs w:val="0"/>
            </w:rPr>
            <w:t>.3.1</w:t>
          </w:r>
          <w:r>
            <w:rPr>
              <w:rFonts w:hint="eastAsia"/>
              <w:bCs w:val="0"/>
            </w:rPr>
            <w:t>现代学徒制</w:t>
          </w:r>
          <w:r>
            <w:tab/>
          </w:r>
          <w:r>
            <w:fldChar w:fldCharType="begin"/>
          </w:r>
          <w:r>
            <w:instrText xml:space="preserve"> PAGEREF _Toc17541 \h </w:instrText>
          </w:r>
          <w:r>
            <w:fldChar w:fldCharType="separate"/>
          </w:r>
          <w:r>
            <w:t>20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_Toc12590 </w:instrText>
          </w:r>
          <w:r>
            <w:rPr>
              <w:bCs/>
              <w:lang w:val="zh-CN"/>
            </w:rPr>
            <w:fldChar w:fldCharType="separate"/>
          </w:r>
          <w:r>
            <w:rPr>
              <w:rFonts w:hint="eastAsia"/>
              <w:bCs w:val="0"/>
            </w:rPr>
            <w:t>2</w:t>
          </w:r>
          <w:r>
            <w:rPr>
              <w:bCs w:val="0"/>
            </w:rPr>
            <w:t>.3.2</w:t>
          </w:r>
          <w:r>
            <w:rPr>
              <w:rFonts w:hint="eastAsia"/>
              <w:bCs w:val="0"/>
            </w:rPr>
            <w:t>多样化订单培养</w:t>
          </w:r>
          <w:r>
            <w:tab/>
          </w:r>
          <w:r>
            <w:fldChar w:fldCharType="begin"/>
          </w:r>
          <w:r>
            <w:instrText xml:space="preserve"> PAGEREF _Toc12590 \h </w:instrText>
          </w:r>
          <w:r>
            <w:fldChar w:fldCharType="separate"/>
          </w:r>
          <w:r>
            <w:t>20</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_Toc27856 </w:instrText>
          </w:r>
          <w:r>
            <w:rPr>
              <w:bCs/>
              <w:lang w:val="zh-CN"/>
            </w:rPr>
            <w:fldChar w:fldCharType="separate"/>
          </w:r>
          <w:r>
            <w:t>2.4 1+X</w:t>
          </w:r>
          <w:r>
            <w:rPr>
              <w:rFonts w:hint="eastAsia"/>
            </w:rPr>
            <w:t>证书制度试点</w:t>
          </w:r>
          <w:r>
            <w:tab/>
          </w:r>
          <w:r>
            <w:fldChar w:fldCharType="begin"/>
          </w:r>
          <w:r>
            <w:instrText xml:space="preserve"> PAGEREF _Toc27856 \h </w:instrText>
          </w:r>
          <w:r>
            <w:fldChar w:fldCharType="separate"/>
          </w:r>
          <w:r>
            <w:t>21</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_Toc26886 </w:instrText>
          </w:r>
          <w:r>
            <w:rPr>
              <w:bCs/>
              <w:lang w:val="zh-CN"/>
            </w:rPr>
            <w:fldChar w:fldCharType="separate"/>
          </w:r>
          <w:r>
            <w:rPr>
              <w:rFonts w:hint="eastAsia"/>
              <w:bCs w:val="0"/>
            </w:rPr>
            <w:t>2</w:t>
          </w:r>
          <w:r>
            <w:rPr>
              <w:bCs w:val="0"/>
            </w:rPr>
            <w:t>.4.1</w:t>
          </w:r>
          <w:r>
            <w:rPr>
              <w:rFonts w:hint="eastAsia"/>
              <w:bCs w:val="0"/>
            </w:rPr>
            <w:t>院校试点</w:t>
          </w:r>
          <w:r>
            <w:tab/>
          </w:r>
          <w:r>
            <w:fldChar w:fldCharType="begin"/>
          </w:r>
          <w:r>
            <w:instrText xml:space="preserve"> PAGEREF _Toc26886 \h </w:instrText>
          </w:r>
          <w:r>
            <w:fldChar w:fldCharType="separate"/>
          </w:r>
          <w:r>
            <w:t>21</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_Toc2881 </w:instrText>
          </w:r>
          <w:r>
            <w:rPr>
              <w:bCs/>
              <w:lang w:val="zh-CN"/>
            </w:rPr>
            <w:fldChar w:fldCharType="separate"/>
          </w:r>
          <w:r>
            <w:rPr>
              <w:rFonts w:hint="eastAsia"/>
              <w:bCs w:val="0"/>
            </w:rPr>
            <w:t>2</w:t>
          </w:r>
          <w:r>
            <w:rPr>
              <w:bCs w:val="0"/>
            </w:rPr>
            <w:t>.4.2</w:t>
          </w:r>
          <w:r>
            <w:rPr>
              <w:rFonts w:hint="eastAsia"/>
              <w:bCs w:val="0"/>
            </w:rPr>
            <w:t>专业探索</w:t>
          </w:r>
          <w:r>
            <w:tab/>
          </w:r>
          <w:r>
            <w:fldChar w:fldCharType="begin"/>
          </w:r>
          <w:r>
            <w:instrText xml:space="preserve"> PAGEREF _Toc2881 \h </w:instrText>
          </w:r>
          <w:r>
            <w:fldChar w:fldCharType="separate"/>
          </w:r>
          <w:r>
            <w:t>21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_Toc13159 </w:instrText>
          </w:r>
          <w:r>
            <w:rPr>
              <w:bCs/>
              <w:lang w:val="zh-CN"/>
            </w:rPr>
            <w:fldChar w:fldCharType="separate"/>
          </w:r>
          <w:r>
            <w:rPr>
              <w:rFonts w:hint="eastAsia"/>
            </w:rPr>
            <w:t>2</w:t>
          </w:r>
          <w:r>
            <w:t>.5</w:t>
          </w:r>
          <w:r>
            <w:rPr>
              <w:rFonts w:hint="eastAsia"/>
            </w:rPr>
            <w:t>院校治理</w:t>
          </w:r>
          <w:r>
            <w:tab/>
          </w:r>
          <w:r>
            <w:fldChar w:fldCharType="begin"/>
          </w:r>
          <w:r>
            <w:instrText xml:space="preserve"> PAGEREF _Toc13159 \h </w:instrText>
          </w:r>
          <w:r>
            <w:fldChar w:fldCharType="separate"/>
          </w:r>
          <w:r>
            <w:t>22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_Toc21540 </w:instrText>
          </w:r>
          <w:r>
            <w:rPr>
              <w:bCs/>
              <w:lang w:val="zh-CN"/>
            </w:rPr>
            <w:fldChar w:fldCharType="separate"/>
          </w:r>
          <w:r>
            <w:rPr>
              <w:rFonts w:hint="eastAsia"/>
              <w:bCs w:val="0"/>
            </w:rPr>
            <w:t>2</w:t>
          </w:r>
          <w:r>
            <w:rPr>
              <w:bCs w:val="0"/>
            </w:rPr>
            <w:t>.5.1</w:t>
          </w:r>
          <w:r>
            <w:rPr>
              <w:rFonts w:hint="eastAsia"/>
              <w:bCs w:val="0"/>
            </w:rPr>
            <w:t>加强党的领导</w:t>
          </w:r>
          <w:r>
            <w:tab/>
          </w:r>
          <w:r>
            <w:fldChar w:fldCharType="begin"/>
          </w:r>
          <w:r>
            <w:instrText xml:space="preserve"> PAGEREF _Toc21540 \h </w:instrText>
          </w:r>
          <w:r>
            <w:fldChar w:fldCharType="separate"/>
          </w:r>
          <w:r>
            <w:t>22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_Toc5457 </w:instrText>
          </w:r>
          <w:r>
            <w:rPr>
              <w:bCs/>
              <w:lang w:val="zh-CN"/>
            </w:rPr>
            <w:fldChar w:fldCharType="separate"/>
          </w:r>
          <w:r>
            <w:rPr>
              <w:rFonts w:hint="eastAsia"/>
              <w:bCs w:val="0"/>
            </w:rPr>
            <w:t>2</w:t>
          </w:r>
          <w:r>
            <w:rPr>
              <w:bCs w:val="0"/>
            </w:rPr>
            <w:t>.5.2</w:t>
          </w:r>
          <w:r>
            <w:rPr>
              <w:rFonts w:hint="eastAsia"/>
              <w:bCs w:val="0"/>
            </w:rPr>
            <w:t>提升治理能力</w:t>
          </w:r>
          <w:r>
            <w:tab/>
          </w:r>
          <w:r>
            <w:fldChar w:fldCharType="begin"/>
          </w:r>
          <w:r>
            <w:instrText xml:space="preserve"> PAGEREF _Toc5457 \h </w:instrText>
          </w:r>
          <w:r>
            <w:fldChar w:fldCharType="separate"/>
          </w:r>
          <w:r>
            <w:t>23</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_Toc23248 </w:instrText>
          </w:r>
          <w:r>
            <w:rPr>
              <w:bCs/>
              <w:lang w:val="zh-CN"/>
            </w:rPr>
            <w:fldChar w:fldCharType="separate"/>
          </w:r>
          <w:r>
            <w:rPr>
              <w:rFonts w:hint="eastAsia"/>
              <w:bCs w:val="0"/>
            </w:rPr>
            <w:t>2</w:t>
          </w:r>
          <w:r>
            <w:rPr>
              <w:bCs w:val="0"/>
            </w:rPr>
            <w:t>.5.3</w:t>
          </w:r>
          <w:r>
            <w:rPr>
              <w:rFonts w:hint="eastAsia"/>
              <w:bCs w:val="0"/>
            </w:rPr>
            <w:t>关键领域改革</w:t>
          </w:r>
          <w:r>
            <w:tab/>
          </w:r>
          <w:r>
            <w:fldChar w:fldCharType="begin"/>
          </w:r>
          <w:r>
            <w:instrText xml:space="preserve"> PAGEREF _Toc23248 \h </w:instrText>
          </w:r>
          <w:r>
            <w:fldChar w:fldCharType="separate"/>
          </w:r>
          <w:r>
            <w:t>24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_Toc21936 </w:instrText>
          </w:r>
          <w:r>
            <w:rPr>
              <w:bCs/>
              <w:lang w:val="zh-CN"/>
            </w:rPr>
            <w:fldChar w:fldCharType="separate"/>
          </w:r>
          <w:r>
            <w:rPr>
              <w:rFonts w:hint="eastAsia"/>
            </w:rPr>
            <w:t>2</w:t>
          </w:r>
          <w:r>
            <w:t>.6</w:t>
          </w:r>
          <w:r>
            <w:rPr>
              <w:rFonts w:hint="eastAsia"/>
            </w:rPr>
            <w:t>教师队伍</w:t>
          </w:r>
          <w:r>
            <w:tab/>
          </w:r>
          <w:r>
            <w:fldChar w:fldCharType="begin"/>
          </w:r>
          <w:r>
            <w:instrText xml:space="preserve"> PAGEREF _Toc21936 \h </w:instrText>
          </w:r>
          <w:r>
            <w:fldChar w:fldCharType="separate"/>
          </w:r>
          <w:r>
            <w:t>24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_Toc4013 </w:instrText>
          </w:r>
          <w:r>
            <w:rPr>
              <w:bCs/>
              <w:lang w:val="zh-CN"/>
            </w:rPr>
            <w:fldChar w:fldCharType="separate"/>
          </w:r>
          <w:r>
            <w:rPr>
              <w:rFonts w:hint="eastAsia"/>
              <w:bCs w:val="0"/>
            </w:rPr>
            <w:t>2</w:t>
          </w:r>
          <w:r>
            <w:rPr>
              <w:bCs w:val="0"/>
            </w:rPr>
            <w:t>.6.1</w:t>
          </w:r>
          <w:r>
            <w:rPr>
              <w:rFonts w:hint="eastAsia"/>
              <w:bCs w:val="0"/>
            </w:rPr>
            <w:t>师资队伍结构持续优化</w:t>
          </w:r>
          <w:r>
            <w:tab/>
          </w:r>
          <w:r>
            <w:fldChar w:fldCharType="begin"/>
          </w:r>
          <w:r>
            <w:instrText xml:space="preserve"> PAGEREF _Toc4013 \h </w:instrText>
          </w:r>
          <w:r>
            <w:fldChar w:fldCharType="separate"/>
          </w:r>
          <w:r>
            <w:t>24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_Toc31692 </w:instrText>
          </w:r>
          <w:r>
            <w:rPr>
              <w:bCs/>
              <w:lang w:val="zh-CN"/>
            </w:rPr>
            <w:fldChar w:fldCharType="separate"/>
          </w:r>
          <w:r>
            <w:rPr>
              <w:bCs w:val="0"/>
            </w:rPr>
            <w:t>2.6.2</w:t>
          </w:r>
          <w:r>
            <w:rPr>
              <w:rFonts w:hint="eastAsia"/>
              <w:bCs w:val="0"/>
            </w:rPr>
            <w:t>切实推进“双师型”教师培养培训</w:t>
          </w:r>
          <w:r>
            <w:tab/>
          </w:r>
          <w:r>
            <w:fldChar w:fldCharType="begin"/>
          </w:r>
          <w:r>
            <w:instrText xml:space="preserve"> PAGEREF _Toc31692 \h </w:instrText>
          </w:r>
          <w:r>
            <w:fldChar w:fldCharType="separate"/>
          </w:r>
          <w:r>
            <w:t>25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_Toc23386 </w:instrText>
          </w:r>
          <w:r>
            <w:rPr>
              <w:bCs/>
              <w:lang w:val="zh-CN"/>
            </w:rPr>
            <w:fldChar w:fldCharType="separate"/>
          </w:r>
          <w:r>
            <w:rPr>
              <w:rFonts w:hint="eastAsia"/>
              <w:bCs w:val="0"/>
            </w:rPr>
            <w:t>2</w:t>
          </w:r>
          <w:r>
            <w:rPr>
              <w:bCs w:val="0"/>
            </w:rPr>
            <w:t>.6.3</w:t>
          </w:r>
          <w:r>
            <w:rPr>
              <w:rFonts w:hint="eastAsia"/>
              <w:bCs w:val="0"/>
            </w:rPr>
            <w:t>多元构筑名师大师队伍建设</w:t>
          </w:r>
          <w:r>
            <w:tab/>
          </w:r>
          <w:r>
            <w:fldChar w:fldCharType="begin"/>
          </w:r>
          <w:r>
            <w:instrText xml:space="preserve"> PAGEREF _Toc23386 \h </w:instrText>
          </w:r>
          <w:r>
            <w:fldChar w:fldCharType="separate"/>
          </w:r>
          <w:r>
            <w:t>25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_Toc14943 </w:instrText>
          </w:r>
          <w:r>
            <w:rPr>
              <w:bCs/>
              <w:lang w:val="zh-CN"/>
            </w:rPr>
            <w:fldChar w:fldCharType="separate"/>
          </w:r>
          <w:r>
            <w:rPr>
              <w:rFonts w:hint="eastAsia"/>
              <w:bCs w:val="0"/>
            </w:rPr>
            <w:t>2</w:t>
          </w:r>
          <w:r>
            <w:rPr>
              <w:bCs w:val="0"/>
            </w:rPr>
            <w:t>.6.4</w:t>
          </w:r>
          <w:r>
            <w:rPr>
              <w:rFonts w:hint="eastAsia"/>
              <w:bCs w:val="0"/>
            </w:rPr>
            <w:t>教学创新团队建设实现突破</w:t>
          </w:r>
          <w:r>
            <w:tab/>
          </w:r>
          <w:r>
            <w:fldChar w:fldCharType="begin"/>
          </w:r>
          <w:r>
            <w:instrText xml:space="preserve"> PAGEREF _Toc14943 \h </w:instrText>
          </w:r>
          <w:r>
            <w:fldChar w:fldCharType="separate"/>
          </w:r>
          <w:r>
            <w:t>26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_Toc10232 </w:instrText>
          </w:r>
          <w:r>
            <w:rPr>
              <w:bCs/>
              <w:lang w:val="zh-CN"/>
            </w:rPr>
            <w:fldChar w:fldCharType="separate"/>
          </w:r>
          <w:r>
            <w:rPr>
              <w:rFonts w:hint="eastAsia"/>
            </w:rPr>
            <w:t>2</w:t>
          </w:r>
          <w:r>
            <w:t>.7</w:t>
          </w:r>
          <w:r>
            <w:rPr>
              <w:rFonts w:hint="eastAsia"/>
            </w:rPr>
            <w:t>教材教法改革</w:t>
          </w:r>
          <w:r>
            <w:tab/>
          </w:r>
          <w:r>
            <w:fldChar w:fldCharType="begin"/>
          </w:r>
          <w:r>
            <w:instrText xml:space="preserve"> PAGEREF _Toc10232 \h </w:instrText>
          </w:r>
          <w:r>
            <w:fldChar w:fldCharType="separate"/>
          </w:r>
          <w:r>
            <w:t>26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_Toc29732 </w:instrText>
          </w:r>
          <w:r>
            <w:rPr>
              <w:bCs/>
              <w:lang w:val="zh-CN"/>
            </w:rPr>
            <w:fldChar w:fldCharType="separate"/>
          </w:r>
          <w:r>
            <w:rPr>
              <w:rFonts w:hint="eastAsia"/>
              <w:bCs w:val="0"/>
            </w:rPr>
            <w:t>2</w:t>
          </w:r>
          <w:r>
            <w:rPr>
              <w:bCs w:val="0"/>
            </w:rPr>
            <w:t>.7.1</w:t>
          </w:r>
          <w:r>
            <w:rPr>
              <w:rFonts w:hint="eastAsia"/>
              <w:bCs w:val="0"/>
            </w:rPr>
            <w:t>标准建设</w:t>
          </w:r>
          <w:r>
            <w:tab/>
          </w:r>
          <w:r>
            <w:fldChar w:fldCharType="begin"/>
          </w:r>
          <w:r>
            <w:instrText xml:space="preserve"> PAGEREF _Toc29732 \h </w:instrText>
          </w:r>
          <w:r>
            <w:fldChar w:fldCharType="separate"/>
          </w:r>
          <w:r>
            <w:t>26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_Toc29164 </w:instrText>
          </w:r>
          <w:r>
            <w:rPr>
              <w:bCs/>
              <w:lang w:val="zh-CN"/>
            </w:rPr>
            <w:fldChar w:fldCharType="separate"/>
          </w:r>
          <w:r>
            <w:rPr>
              <w:rFonts w:hint="eastAsia"/>
              <w:bCs w:val="0"/>
            </w:rPr>
            <w:t>2</w:t>
          </w:r>
          <w:r>
            <w:rPr>
              <w:bCs w:val="0"/>
            </w:rPr>
            <w:t>.7.2</w:t>
          </w:r>
          <w:r>
            <w:rPr>
              <w:rFonts w:hint="eastAsia"/>
              <w:bCs w:val="0"/>
            </w:rPr>
            <w:t>模块化教学</w:t>
          </w:r>
          <w:r>
            <w:tab/>
          </w:r>
          <w:r>
            <w:fldChar w:fldCharType="begin"/>
          </w:r>
          <w:r>
            <w:instrText xml:space="preserve"> PAGEREF _Toc29164 \h </w:instrText>
          </w:r>
          <w:r>
            <w:fldChar w:fldCharType="separate"/>
          </w:r>
          <w:r>
            <w:t>27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_Toc11806 </w:instrText>
          </w:r>
          <w:r>
            <w:rPr>
              <w:bCs/>
              <w:lang w:val="zh-CN"/>
            </w:rPr>
            <w:fldChar w:fldCharType="separate"/>
          </w:r>
          <w:r>
            <w:rPr>
              <w:rFonts w:hint="eastAsia"/>
              <w:bCs w:val="0"/>
            </w:rPr>
            <w:t>2</w:t>
          </w:r>
          <w:r>
            <w:rPr>
              <w:bCs w:val="0"/>
            </w:rPr>
            <w:t>.7.3</w:t>
          </w:r>
          <w:r>
            <w:rPr>
              <w:rFonts w:hint="eastAsia"/>
              <w:bCs w:val="0"/>
            </w:rPr>
            <w:t>信息技术应用</w:t>
          </w:r>
          <w:r>
            <w:tab/>
          </w:r>
          <w:r>
            <w:fldChar w:fldCharType="begin"/>
          </w:r>
          <w:r>
            <w:instrText xml:space="preserve"> PAGEREF _Toc11806 \h </w:instrText>
          </w:r>
          <w:r>
            <w:fldChar w:fldCharType="separate"/>
          </w:r>
          <w:r>
            <w:t>27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_Toc918 </w:instrText>
          </w:r>
          <w:r>
            <w:rPr>
              <w:bCs/>
              <w:lang w:val="zh-CN"/>
            </w:rPr>
            <w:fldChar w:fldCharType="separate"/>
          </w:r>
          <w:r>
            <w:rPr>
              <w:rFonts w:hint="eastAsia"/>
              <w:bCs w:val="0"/>
            </w:rPr>
            <w:t>2</w:t>
          </w:r>
          <w:r>
            <w:rPr>
              <w:bCs w:val="0"/>
            </w:rPr>
            <w:t>.7.4</w:t>
          </w:r>
          <w:r>
            <w:rPr>
              <w:rFonts w:hint="eastAsia"/>
              <w:bCs w:val="0"/>
            </w:rPr>
            <w:t>教材改革</w:t>
          </w:r>
          <w:r>
            <w:tab/>
          </w:r>
          <w:r>
            <w:fldChar w:fldCharType="begin"/>
          </w:r>
          <w:r>
            <w:instrText xml:space="preserve"> PAGEREF _Toc918 \h </w:instrText>
          </w:r>
          <w:r>
            <w:fldChar w:fldCharType="separate"/>
          </w:r>
          <w:r>
            <w:t>28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_Toc9456 </w:instrText>
          </w:r>
          <w:r>
            <w:rPr>
              <w:bCs/>
              <w:lang w:val="zh-CN"/>
            </w:rPr>
            <w:fldChar w:fldCharType="separate"/>
          </w:r>
          <w:r>
            <w:rPr>
              <w:rFonts w:hint="eastAsia"/>
            </w:rPr>
            <w:t>3政策保障</w:t>
          </w:r>
          <w:r>
            <w:tab/>
          </w:r>
          <w:r>
            <w:fldChar w:fldCharType="begin"/>
          </w:r>
          <w:r>
            <w:instrText xml:space="preserve"> PAGEREF _Toc9456 \h </w:instrText>
          </w:r>
          <w:r>
            <w:fldChar w:fldCharType="separate"/>
          </w:r>
          <w:r>
            <w:t>28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_Toc23499 </w:instrText>
          </w:r>
          <w:r>
            <w:rPr>
              <w:bCs/>
              <w:lang w:val="zh-CN"/>
            </w:rPr>
            <w:fldChar w:fldCharType="separate"/>
          </w:r>
          <w:r>
            <w:rPr>
              <w:rFonts w:hint="eastAsia"/>
            </w:rPr>
            <w:t>3</w:t>
          </w:r>
          <w:r>
            <w:t>.1</w:t>
          </w:r>
          <w:r>
            <w:rPr>
              <w:rFonts w:hint="eastAsia"/>
            </w:rPr>
            <w:t>政策创新</w:t>
          </w:r>
          <w:r>
            <w:tab/>
          </w:r>
          <w:r>
            <w:fldChar w:fldCharType="begin"/>
          </w:r>
          <w:r>
            <w:instrText xml:space="preserve"> PAGEREF _Toc23499 \h </w:instrText>
          </w:r>
          <w:r>
            <w:fldChar w:fldCharType="separate"/>
          </w:r>
          <w:r>
            <w:t>28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_Toc9711 </w:instrText>
          </w:r>
          <w:r>
            <w:rPr>
              <w:bCs/>
              <w:lang w:val="zh-CN"/>
            </w:rPr>
            <w:fldChar w:fldCharType="separate"/>
          </w:r>
          <w:r>
            <w:rPr>
              <w:rFonts w:hint="eastAsia"/>
              <w:bCs w:val="0"/>
            </w:rPr>
            <w:t>3</w:t>
          </w:r>
          <w:r>
            <w:rPr>
              <w:bCs w:val="0"/>
            </w:rPr>
            <w:t>.1.1</w:t>
          </w:r>
          <w:r>
            <w:rPr>
              <w:rFonts w:hint="eastAsia"/>
              <w:bCs w:val="0"/>
            </w:rPr>
            <w:t>扎实推进政策落实</w:t>
          </w:r>
          <w:r>
            <w:tab/>
          </w:r>
          <w:r>
            <w:fldChar w:fldCharType="begin"/>
          </w:r>
          <w:r>
            <w:instrText xml:space="preserve"> PAGEREF _Toc9711 \h </w:instrText>
          </w:r>
          <w:r>
            <w:fldChar w:fldCharType="separate"/>
          </w:r>
          <w:r>
            <w:t>28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_Toc32022 </w:instrText>
          </w:r>
          <w:r>
            <w:rPr>
              <w:bCs/>
              <w:lang w:val="zh-CN"/>
            </w:rPr>
            <w:fldChar w:fldCharType="separate"/>
          </w:r>
          <w:r>
            <w:rPr>
              <w:rFonts w:hint="eastAsia"/>
              <w:bCs w:val="0"/>
            </w:rPr>
            <w:t>3</w:t>
          </w:r>
          <w:r>
            <w:rPr>
              <w:bCs w:val="0"/>
            </w:rPr>
            <w:t>.1.2</w:t>
          </w:r>
          <w:r>
            <w:rPr>
              <w:rFonts w:hint="eastAsia"/>
              <w:bCs w:val="0"/>
            </w:rPr>
            <w:t>科学实施改革举措</w:t>
          </w:r>
          <w:r>
            <w:tab/>
          </w:r>
          <w:r>
            <w:fldChar w:fldCharType="begin"/>
          </w:r>
          <w:r>
            <w:instrText xml:space="preserve"> PAGEREF _Toc32022 \h </w:instrText>
          </w:r>
          <w:r>
            <w:fldChar w:fldCharType="separate"/>
          </w:r>
          <w:r>
            <w:t>29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_Toc4573 </w:instrText>
          </w:r>
          <w:r>
            <w:rPr>
              <w:bCs/>
              <w:lang w:val="zh-CN"/>
            </w:rPr>
            <w:fldChar w:fldCharType="separate"/>
          </w:r>
          <w:r>
            <w:rPr>
              <w:rFonts w:hint="eastAsia"/>
              <w:bCs w:val="0"/>
            </w:rPr>
            <w:t>3</w:t>
          </w:r>
          <w:r>
            <w:rPr>
              <w:bCs w:val="0"/>
            </w:rPr>
            <w:t>.1.3</w:t>
          </w:r>
          <w:r>
            <w:rPr>
              <w:rFonts w:hint="eastAsia"/>
              <w:bCs w:val="0"/>
            </w:rPr>
            <w:t>攻坚克难优化发展环境</w:t>
          </w:r>
          <w:r>
            <w:tab/>
          </w:r>
          <w:r>
            <w:fldChar w:fldCharType="begin"/>
          </w:r>
          <w:r>
            <w:instrText xml:space="preserve"> PAGEREF _Toc4573 \h </w:instrText>
          </w:r>
          <w:r>
            <w:fldChar w:fldCharType="separate"/>
          </w:r>
          <w:r>
            <w:t>29</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_Toc5129 </w:instrText>
          </w:r>
          <w:r>
            <w:rPr>
              <w:bCs/>
              <w:lang w:val="zh-CN"/>
            </w:rPr>
            <w:fldChar w:fldCharType="separate"/>
          </w:r>
          <w:r>
            <w:rPr>
              <w:rFonts w:hint="eastAsia"/>
            </w:rPr>
            <w:t>3</w:t>
          </w:r>
          <w:r>
            <w:t>.2</w:t>
          </w:r>
          <w:r>
            <w:rPr>
              <w:rFonts w:hint="eastAsia"/>
            </w:rPr>
            <w:t>专项引导</w:t>
          </w:r>
          <w:r>
            <w:tab/>
          </w:r>
          <w:r>
            <w:fldChar w:fldCharType="begin"/>
          </w:r>
          <w:r>
            <w:instrText xml:space="preserve"> PAGEREF _Toc5129 \h </w:instrText>
          </w:r>
          <w:r>
            <w:fldChar w:fldCharType="separate"/>
          </w:r>
          <w:r>
            <w:t>30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_Toc24174 </w:instrText>
          </w:r>
          <w:r>
            <w:rPr>
              <w:bCs/>
              <w:lang w:val="zh-CN"/>
            </w:rPr>
            <w:fldChar w:fldCharType="separate"/>
          </w:r>
          <w:r>
            <w:rPr>
              <w:rFonts w:hint="eastAsia"/>
              <w:bCs w:val="0"/>
            </w:rPr>
            <w:t>3</w:t>
          </w:r>
          <w:r>
            <w:rPr>
              <w:bCs w:val="0"/>
            </w:rPr>
            <w:t>.2.1</w:t>
          </w:r>
          <w:r>
            <w:rPr>
              <w:rFonts w:hint="eastAsia"/>
              <w:bCs w:val="0"/>
            </w:rPr>
            <w:t>实施职教重点项目</w:t>
          </w:r>
          <w:r>
            <w:tab/>
          </w:r>
          <w:r>
            <w:fldChar w:fldCharType="begin"/>
          </w:r>
          <w:r>
            <w:instrText xml:space="preserve"> PAGEREF _Toc24174 \h </w:instrText>
          </w:r>
          <w:r>
            <w:fldChar w:fldCharType="separate"/>
          </w:r>
          <w:r>
            <w:t>30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_Toc5424 </w:instrText>
          </w:r>
          <w:r>
            <w:rPr>
              <w:bCs/>
              <w:lang w:val="zh-CN"/>
            </w:rPr>
            <w:fldChar w:fldCharType="separate"/>
          </w:r>
          <w:r>
            <w:rPr>
              <w:rFonts w:hint="eastAsia"/>
              <w:bCs w:val="0"/>
            </w:rPr>
            <w:t>3</w:t>
          </w:r>
          <w:r>
            <w:rPr>
              <w:bCs w:val="0"/>
            </w:rPr>
            <w:t>.2.2</w:t>
          </w:r>
          <w:r>
            <w:rPr>
              <w:rFonts w:hint="eastAsia"/>
              <w:bCs w:val="0"/>
            </w:rPr>
            <w:t>推进高职学校高质量发展</w:t>
          </w:r>
          <w:r>
            <w:tab/>
          </w:r>
          <w:r>
            <w:fldChar w:fldCharType="begin"/>
          </w:r>
          <w:r>
            <w:instrText xml:space="preserve"> PAGEREF _Toc5424 \h </w:instrText>
          </w:r>
          <w:r>
            <w:fldChar w:fldCharType="separate"/>
          </w:r>
          <w:r>
            <w:t>30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_Toc21768 </w:instrText>
          </w:r>
          <w:r>
            <w:rPr>
              <w:bCs/>
              <w:lang w:val="zh-CN"/>
            </w:rPr>
            <w:fldChar w:fldCharType="separate"/>
          </w:r>
          <w:r>
            <w:rPr>
              <w:rFonts w:hint="eastAsia"/>
              <w:bCs w:val="0"/>
            </w:rPr>
            <w:t>3</w:t>
          </w:r>
          <w:r>
            <w:rPr>
              <w:bCs w:val="0"/>
            </w:rPr>
            <w:t>.2.3</w:t>
          </w:r>
          <w:r>
            <w:rPr>
              <w:rFonts w:hint="eastAsia"/>
              <w:bCs w:val="0"/>
            </w:rPr>
            <w:t>着力建设高水平专业群</w:t>
          </w:r>
          <w:r>
            <w:tab/>
          </w:r>
          <w:r>
            <w:fldChar w:fldCharType="begin"/>
          </w:r>
          <w:r>
            <w:instrText xml:space="preserve"> PAGEREF _Toc21768 \h </w:instrText>
          </w:r>
          <w:r>
            <w:fldChar w:fldCharType="separate"/>
          </w:r>
          <w:r>
            <w:t>31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_Toc14167 </w:instrText>
          </w:r>
          <w:r>
            <w:rPr>
              <w:bCs/>
              <w:lang w:val="zh-CN"/>
            </w:rPr>
            <w:fldChar w:fldCharType="separate"/>
          </w:r>
          <w:r>
            <w:rPr>
              <w:rFonts w:hint="eastAsia"/>
            </w:rPr>
            <w:t>3</w:t>
          </w:r>
          <w:r>
            <w:t>.3</w:t>
          </w:r>
          <w:r>
            <w:rPr>
              <w:rFonts w:hint="eastAsia"/>
            </w:rPr>
            <w:t>质量保障</w:t>
          </w:r>
          <w:r>
            <w:tab/>
          </w:r>
          <w:r>
            <w:fldChar w:fldCharType="begin"/>
          </w:r>
          <w:r>
            <w:instrText xml:space="preserve"> PAGEREF _Toc14167 \h </w:instrText>
          </w:r>
          <w:r>
            <w:fldChar w:fldCharType="separate"/>
          </w:r>
          <w:r>
            <w:t>32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_Toc86 </w:instrText>
          </w:r>
          <w:r>
            <w:rPr>
              <w:bCs/>
              <w:lang w:val="zh-CN"/>
            </w:rPr>
            <w:fldChar w:fldCharType="separate"/>
          </w:r>
          <w:r>
            <w:rPr>
              <w:rFonts w:hint="eastAsia"/>
              <w:bCs w:val="0"/>
            </w:rPr>
            <w:t>3</w:t>
          </w:r>
          <w:r>
            <w:rPr>
              <w:bCs w:val="0"/>
            </w:rPr>
            <w:t>.3.1</w:t>
          </w:r>
          <w:r>
            <w:rPr>
              <w:rFonts w:hint="eastAsia"/>
              <w:bCs w:val="0"/>
            </w:rPr>
            <w:t>全面推进教学工作诊改</w:t>
          </w:r>
          <w:r>
            <w:tab/>
          </w:r>
          <w:r>
            <w:fldChar w:fldCharType="begin"/>
          </w:r>
          <w:r>
            <w:instrText xml:space="preserve"> PAGEREF _Toc86 \h </w:instrText>
          </w:r>
          <w:r>
            <w:fldChar w:fldCharType="separate"/>
          </w:r>
          <w:r>
            <w:t>32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_Toc5443 </w:instrText>
          </w:r>
          <w:r>
            <w:rPr>
              <w:bCs/>
              <w:lang w:val="zh-CN"/>
            </w:rPr>
            <w:fldChar w:fldCharType="separate"/>
          </w:r>
          <w:r>
            <w:rPr>
              <w:rFonts w:hint="eastAsia"/>
              <w:bCs w:val="0"/>
            </w:rPr>
            <w:t>3</w:t>
          </w:r>
          <w:r>
            <w:rPr>
              <w:bCs w:val="0"/>
            </w:rPr>
            <w:t>.3.2</w:t>
          </w:r>
          <w:r>
            <w:rPr>
              <w:rFonts w:hint="eastAsia"/>
              <w:bCs w:val="0"/>
            </w:rPr>
            <w:t>不断完善两项抽查制度</w:t>
          </w:r>
          <w:r>
            <w:tab/>
          </w:r>
          <w:r>
            <w:fldChar w:fldCharType="begin"/>
          </w:r>
          <w:r>
            <w:instrText xml:space="preserve"> PAGEREF _Toc5443 \h </w:instrText>
          </w:r>
          <w:r>
            <w:fldChar w:fldCharType="separate"/>
          </w:r>
          <w:r>
            <w:t>32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_Toc1963 </w:instrText>
          </w:r>
          <w:r>
            <w:rPr>
              <w:bCs/>
              <w:lang w:val="zh-CN"/>
            </w:rPr>
            <w:fldChar w:fldCharType="separate"/>
          </w:r>
          <w:r>
            <w:rPr>
              <w:rFonts w:hint="eastAsia"/>
              <w:bCs w:val="0"/>
            </w:rPr>
            <w:t>3</w:t>
          </w:r>
          <w:r>
            <w:rPr>
              <w:bCs w:val="0"/>
            </w:rPr>
            <w:t>.3.3</w:t>
          </w:r>
          <w:r>
            <w:rPr>
              <w:rFonts w:hint="eastAsia"/>
              <w:bCs w:val="0"/>
            </w:rPr>
            <w:t>建立建全教学管理制度</w:t>
          </w:r>
          <w:r>
            <w:tab/>
          </w:r>
          <w:r>
            <w:fldChar w:fldCharType="begin"/>
          </w:r>
          <w:r>
            <w:instrText xml:space="preserve"> PAGEREF _Toc1963 \h </w:instrText>
          </w:r>
          <w:r>
            <w:fldChar w:fldCharType="separate"/>
          </w:r>
          <w:r>
            <w:t>33</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_Toc23066 </w:instrText>
          </w:r>
          <w:r>
            <w:rPr>
              <w:bCs/>
              <w:lang w:val="zh-CN"/>
            </w:rPr>
            <w:fldChar w:fldCharType="separate"/>
          </w:r>
          <w:r>
            <w:rPr>
              <w:rFonts w:hint="eastAsia"/>
            </w:rPr>
            <w:t>3</w:t>
          </w:r>
          <w:r>
            <w:t>.4</w:t>
          </w:r>
          <w:r>
            <w:rPr>
              <w:rFonts w:hint="eastAsia"/>
            </w:rPr>
            <w:t>经费保障</w:t>
          </w:r>
          <w:r>
            <w:tab/>
          </w:r>
          <w:r>
            <w:fldChar w:fldCharType="begin"/>
          </w:r>
          <w:r>
            <w:instrText xml:space="preserve"> PAGEREF _Toc23066 \h </w:instrText>
          </w:r>
          <w:r>
            <w:fldChar w:fldCharType="separate"/>
          </w:r>
          <w:r>
            <w:t>34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_Toc28231 </w:instrText>
          </w:r>
          <w:r>
            <w:rPr>
              <w:bCs/>
              <w:lang w:val="zh-CN"/>
            </w:rPr>
            <w:fldChar w:fldCharType="separate"/>
          </w:r>
          <w:r>
            <w:rPr>
              <w:rFonts w:hint="eastAsia"/>
              <w:bCs w:val="0"/>
            </w:rPr>
            <w:t>3</w:t>
          </w:r>
          <w:r>
            <w:rPr>
              <w:bCs w:val="0"/>
            </w:rPr>
            <w:t>.4.1</w:t>
          </w:r>
          <w:r>
            <w:rPr>
              <w:rFonts w:hint="eastAsia"/>
              <w:bCs w:val="0"/>
            </w:rPr>
            <w:t>生均财政拨款略有减少</w:t>
          </w:r>
          <w:r>
            <w:tab/>
          </w:r>
          <w:r>
            <w:fldChar w:fldCharType="begin"/>
          </w:r>
          <w:r>
            <w:instrText xml:space="preserve"> PAGEREF _Toc28231 \h </w:instrText>
          </w:r>
          <w:r>
            <w:fldChar w:fldCharType="separate"/>
          </w:r>
          <w:r>
            <w:t>34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_Toc13826 </w:instrText>
          </w:r>
          <w:r>
            <w:rPr>
              <w:bCs/>
              <w:lang w:val="zh-CN"/>
            </w:rPr>
            <w:fldChar w:fldCharType="separate"/>
          </w:r>
          <w:r>
            <w:rPr>
              <w:rFonts w:hint="eastAsia"/>
              <w:bCs w:val="0"/>
            </w:rPr>
            <w:t>3</w:t>
          </w:r>
          <w:r>
            <w:rPr>
              <w:bCs w:val="0"/>
            </w:rPr>
            <w:t>.4.2</w:t>
          </w:r>
          <w:r>
            <w:rPr>
              <w:rFonts w:hint="eastAsia"/>
              <w:bCs w:val="0"/>
            </w:rPr>
            <w:t>生均学费略有增长</w:t>
          </w:r>
          <w:r>
            <w:tab/>
          </w:r>
          <w:r>
            <w:fldChar w:fldCharType="begin"/>
          </w:r>
          <w:r>
            <w:instrText xml:space="preserve"> PAGEREF _Toc13826 \h </w:instrText>
          </w:r>
          <w:r>
            <w:fldChar w:fldCharType="separate"/>
          </w:r>
          <w:r>
            <w:t>34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_Toc7676 </w:instrText>
          </w:r>
          <w:r>
            <w:rPr>
              <w:bCs/>
              <w:lang w:val="zh-CN"/>
            </w:rPr>
            <w:fldChar w:fldCharType="separate"/>
          </w:r>
          <w:r>
            <w:rPr>
              <w:rFonts w:hint="eastAsia"/>
              <w:bCs w:val="0"/>
            </w:rPr>
            <w:t>3</w:t>
          </w:r>
          <w:r>
            <w:rPr>
              <w:bCs w:val="0"/>
            </w:rPr>
            <w:t>.4.3</w:t>
          </w:r>
          <w:r>
            <w:rPr>
              <w:rFonts w:hint="eastAsia"/>
              <w:bCs w:val="0"/>
            </w:rPr>
            <w:t>举办者投入增幅明显</w:t>
          </w:r>
          <w:r>
            <w:tab/>
          </w:r>
          <w:r>
            <w:fldChar w:fldCharType="begin"/>
          </w:r>
          <w:r>
            <w:instrText xml:space="preserve"> PAGEREF _Toc7676 \h </w:instrText>
          </w:r>
          <w:r>
            <w:fldChar w:fldCharType="separate"/>
          </w:r>
          <w:r>
            <w:t>34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_Toc1217 </w:instrText>
          </w:r>
          <w:r>
            <w:rPr>
              <w:bCs/>
              <w:lang w:val="zh-CN"/>
            </w:rPr>
            <w:fldChar w:fldCharType="separate"/>
          </w:r>
          <w:r>
            <w:rPr>
              <w:rFonts w:hint="eastAsia"/>
              <w:bCs w:val="0"/>
            </w:rPr>
            <w:t>3</w:t>
          </w:r>
          <w:r>
            <w:rPr>
              <w:bCs w:val="0"/>
            </w:rPr>
            <w:t>.4.4</w:t>
          </w:r>
          <w:r>
            <w:rPr>
              <w:rFonts w:hint="eastAsia"/>
              <w:bCs w:val="0"/>
            </w:rPr>
            <w:t>绩效评价</w:t>
          </w:r>
          <w:r>
            <w:tab/>
          </w:r>
          <w:r>
            <w:fldChar w:fldCharType="begin"/>
          </w:r>
          <w:r>
            <w:instrText xml:space="preserve"> PAGEREF _Toc1217 \h </w:instrText>
          </w:r>
          <w:r>
            <w:fldChar w:fldCharType="separate"/>
          </w:r>
          <w:r>
            <w:t>34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_Toc8135 </w:instrText>
          </w:r>
          <w:r>
            <w:rPr>
              <w:bCs/>
              <w:lang w:val="zh-CN"/>
            </w:rPr>
            <w:fldChar w:fldCharType="separate"/>
          </w:r>
          <w:r>
            <w:rPr>
              <w:rFonts w:hint="eastAsia"/>
            </w:rPr>
            <w:t>4国际合作</w:t>
          </w:r>
          <w:r>
            <w:tab/>
          </w:r>
          <w:r>
            <w:fldChar w:fldCharType="begin"/>
          </w:r>
          <w:r>
            <w:instrText xml:space="preserve"> PAGEREF _Toc8135 \h </w:instrText>
          </w:r>
          <w:r>
            <w:fldChar w:fldCharType="separate"/>
          </w:r>
          <w:r>
            <w:t>35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_Toc7785 </w:instrText>
          </w:r>
          <w:r>
            <w:rPr>
              <w:bCs/>
              <w:lang w:val="zh-CN"/>
            </w:rPr>
            <w:fldChar w:fldCharType="separate"/>
          </w:r>
          <w:r>
            <w:t>5</w:t>
          </w:r>
          <w:r>
            <w:rPr>
              <w:rFonts w:hint="eastAsia"/>
            </w:rPr>
            <w:t>服务贡献</w:t>
          </w:r>
          <w:r>
            <w:tab/>
          </w:r>
          <w:r>
            <w:fldChar w:fldCharType="begin"/>
          </w:r>
          <w:r>
            <w:instrText xml:space="preserve"> PAGEREF _Toc7785 \h </w:instrText>
          </w:r>
          <w:r>
            <w:fldChar w:fldCharType="separate"/>
          </w:r>
          <w:r>
            <w:t>35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_Toc14930 </w:instrText>
          </w:r>
          <w:r>
            <w:rPr>
              <w:bCs/>
              <w:lang w:val="zh-CN"/>
            </w:rPr>
            <w:fldChar w:fldCharType="separate"/>
          </w:r>
          <w:r>
            <w:t>5.1</w:t>
          </w:r>
          <w:r>
            <w:rPr>
              <w:rFonts w:hint="eastAsia"/>
            </w:rPr>
            <w:t>落实高职扩招任务</w:t>
          </w:r>
          <w:r>
            <w:tab/>
          </w:r>
          <w:r>
            <w:fldChar w:fldCharType="begin"/>
          </w:r>
          <w:r>
            <w:instrText xml:space="preserve"> PAGEREF _Toc14930 \h </w:instrText>
          </w:r>
          <w:r>
            <w:fldChar w:fldCharType="separate"/>
          </w:r>
          <w:r>
            <w:t>35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_Toc19029 </w:instrText>
          </w:r>
          <w:r>
            <w:rPr>
              <w:bCs/>
              <w:lang w:val="zh-CN"/>
            </w:rPr>
            <w:fldChar w:fldCharType="separate"/>
          </w:r>
          <w:r>
            <w:t>5.2</w:t>
          </w:r>
          <w:r>
            <w:rPr>
              <w:rFonts w:hint="eastAsia"/>
            </w:rPr>
            <w:t>开展高质量职业培训</w:t>
          </w:r>
          <w:r>
            <w:tab/>
          </w:r>
          <w:r>
            <w:fldChar w:fldCharType="begin"/>
          </w:r>
          <w:r>
            <w:instrText xml:space="preserve"> PAGEREF _Toc19029 \h </w:instrText>
          </w:r>
          <w:r>
            <w:fldChar w:fldCharType="separate"/>
          </w:r>
          <w:r>
            <w:t>35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_Toc11654 </w:instrText>
          </w:r>
          <w:r>
            <w:rPr>
              <w:bCs/>
              <w:lang w:val="zh-CN"/>
            </w:rPr>
            <w:fldChar w:fldCharType="separate"/>
          </w:r>
          <w:r>
            <w:rPr>
              <w:bCs w:val="0"/>
            </w:rPr>
            <w:t>5.2.1</w:t>
          </w:r>
          <w:r>
            <w:rPr>
              <w:rFonts w:hint="eastAsia"/>
              <w:bCs w:val="0"/>
            </w:rPr>
            <w:t>多平台助力提升培训能力</w:t>
          </w:r>
          <w:r>
            <w:tab/>
          </w:r>
          <w:r>
            <w:fldChar w:fldCharType="begin"/>
          </w:r>
          <w:r>
            <w:instrText xml:space="preserve"> PAGEREF _Toc11654 \h </w:instrText>
          </w:r>
          <w:r>
            <w:fldChar w:fldCharType="separate"/>
          </w:r>
          <w:r>
            <w:t>35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_Toc20215 </w:instrText>
          </w:r>
          <w:r>
            <w:rPr>
              <w:bCs/>
              <w:lang w:val="zh-CN"/>
            </w:rPr>
            <w:fldChar w:fldCharType="separate"/>
          </w:r>
          <w:r>
            <w:rPr>
              <w:bCs w:val="0"/>
            </w:rPr>
            <w:t>5.2.2</w:t>
          </w:r>
          <w:r>
            <w:rPr>
              <w:rFonts w:hint="eastAsia"/>
              <w:bCs w:val="0"/>
            </w:rPr>
            <w:t>培训规模逐步扩大</w:t>
          </w:r>
          <w:r>
            <w:tab/>
          </w:r>
          <w:r>
            <w:fldChar w:fldCharType="begin"/>
          </w:r>
          <w:r>
            <w:instrText xml:space="preserve"> PAGEREF _Toc20215 \h </w:instrText>
          </w:r>
          <w:r>
            <w:fldChar w:fldCharType="separate"/>
          </w:r>
          <w:r>
            <w:t>36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_Toc15242 </w:instrText>
          </w:r>
          <w:r>
            <w:rPr>
              <w:bCs/>
              <w:lang w:val="zh-CN"/>
            </w:rPr>
            <w:fldChar w:fldCharType="separate"/>
          </w:r>
          <w:r>
            <w:t>5.3</w:t>
          </w:r>
          <w:r>
            <w:rPr>
              <w:rFonts w:hint="eastAsia"/>
            </w:rPr>
            <w:t>服务国家战略</w:t>
          </w:r>
          <w:r>
            <w:tab/>
          </w:r>
          <w:r>
            <w:fldChar w:fldCharType="begin"/>
          </w:r>
          <w:r>
            <w:instrText xml:space="preserve"> PAGEREF _Toc15242 \h </w:instrText>
          </w:r>
          <w:r>
            <w:fldChar w:fldCharType="separate"/>
          </w:r>
          <w:r>
            <w:t>38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_Toc11601 </w:instrText>
          </w:r>
          <w:r>
            <w:rPr>
              <w:bCs/>
              <w:lang w:val="zh-CN"/>
            </w:rPr>
            <w:fldChar w:fldCharType="separate"/>
          </w:r>
          <w:r>
            <w:rPr>
              <w:bCs w:val="0"/>
            </w:rPr>
            <w:t>5.3.1</w:t>
          </w:r>
          <w:r>
            <w:rPr>
              <w:rFonts w:hint="eastAsia"/>
              <w:bCs w:val="0"/>
            </w:rPr>
            <w:t>服务乡村振兴</w:t>
          </w:r>
          <w:r>
            <w:tab/>
          </w:r>
          <w:r>
            <w:fldChar w:fldCharType="begin"/>
          </w:r>
          <w:r>
            <w:instrText xml:space="preserve"> PAGEREF _Toc11601 \h </w:instrText>
          </w:r>
          <w:r>
            <w:fldChar w:fldCharType="separate"/>
          </w:r>
          <w:r>
            <w:t>38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_Toc29414 </w:instrText>
          </w:r>
          <w:r>
            <w:rPr>
              <w:bCs/>
              <w:lang w:val="zh-CN"/>
            </w:rPr>
            <w:fldChar w:fldCharType="separate"/>
          </w:r>
          <w:r>
            <w:t>5.4</w:t>
          </w:r>
          <w:r>
            <w:rPr>
              <w:rFonts w:hint="eastAsia"/>
            </w:rPr>
            <w:t>服务区域发展</w:t>
          </w:r>
          <w:r>
            <w:tab/>
          </w:r>
          <w:r>
            <w:fldChar w:fldCharType="begin"/>
          </w:r>
          <w:r>
            <w:instrText xml:space="preserve"> PAGEREF _Toc29414 \h </w:instrText>
          </w:r>
          <w:r>
            <w:fldChar w:fldCharType="separate"/>
          </w:r>
          <w:r>
            <w:t>39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_Toc19735 </w:instrText>
          </w:r>
          <w:r>
            <w:rPr>
              <w:bCs/>
              <w:lang w:val="zh-CN"/>
            </w:rPr>
            <w:fldChar w:fldCharType="separate"/>
          </w:r>
          <w:r>
            <w:rPr>
              <w:bCs w:val="0"/>
            </w:rPr>
            <w:t>5.4.1</w:t>
          </w:r>
          <w:r>
            <w:rPr>
              <w:rFonts w:hint="eastAsia"/>
              <w:bCs w:val="0"/>
            </w:rPr>
            <w:t>服务湖南</w:t>
          </w:r>
          <w:r>
            <w:rPr>
              <w:bCs w:val="0"/>
            </w:rPr>
            <w:t>“</w:t>
          </w:r>
          <w:r>
            <w:rPr>
              <w:rFonts w:hint="eastAsia"/>
              <w:bCs w:val="0"/>
            </w:rPr>
            <w:t>三高四新</w:t>
          </w:r>
          <w:r>
            <w:rPr>
              <w:bCs w:val="0"/>
            </w:rPr>
            <w:t>”</w:t>
          </w:r>
          <w:r>
            <w:rPr>
              <w:rFonts w:hint="eastAsia"/>
              <w:bCs w:val="0"/>
            </w:rPr>
            <w:t>战略</w:t>
          </w:r>
          <w:r>
            <w:tab/>
          </w:r>
          <w:r>
            <w:fldChar w:fldCharType="begin"/>
          </w:r>
          <w:r>
            <w:instrText xml:space="preserve"> PAGEREF _Toc19735 \h </w:instrText>
          </w:r>
          <w:r>
            <w:fldChar w:fldCharType="separate"/>
          </w:r>
          <w:r>
            <w:t>39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_Toc2729 </w:instrText>
          </w:r>
          <w:r>
            <w:rPr>
              <w:bCs/>
              <w:lang w:val="zh-CN"/>
            </w:rPr>
            <w:fldChar w:fldCharType="separate"/>
          </w:r>
          <w:r>
            <w:rPr>
              <w:bCs w:val="0"/>
            </w:rPr>
            <w:t>5.4.2</w:t>
          </w:r>
          <w:r>
            <w:rPr>
              <w:rFonts w:hint="eastAsia"/>
              <w:bCs w:val="0"/>
            </w:rPr>
            <w:t>服务新兴优势产业链</w:t>
          </w:r>
          <w:r>
            <w:tab/>
          </w:r>
          <w:r>
            <w:fldChar w:fldCharType="begin"/>
          </w:r>
          <w:r>
            <w:instrText xml:space="preserve"> PAGEREF _Toc2729 \h </w:instrText>
          </w:r>
          <w:r>
            <w:fldChar w:fldCharType="separate"/>
          </w:r>
          <w:r>
            <w:t>40</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_Toc18101 </w:instrText>
          </w:r>
          <w:r>
            <w:rPr>
              <w:bCs/>
              <w:lang w:val="zh-CN"/>
            </w:rPr>
            <w:fldChar w:fldCharType="separate"/>
          </w:r>
          <w:r>
            <w:rPr>
              <w:bCs w:val="0"/>
            </w:rPr>
            <w:t>5.4.3</w:t>
          </w:r>
          <w:r>
            <w:rPr>
              <w:rFonts w:hint="eastAsia"/>
              <w:bCs w:val="0"/>
            </w:rPr>
            <w:t>服务行业企业</w:t>
          </w:r>
          <w:r>
            <w:tab/>
          </w:r>
          <w:r>
            <w:fldChar w:fldCharType="begin"/>
          </w:r>
          <w:r>
            <w:instrText xml:space="preserve"> PAGEREF _Toc18101 \h </w:instrText>
          </w:r>
          <w:r>
            <w:fldChar w:fldCharType="separate"/>
          </w:r>
          <w:r>
            <w:t>41</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_Toc26810 </w:instrText>
          </w:r>
          <w:r>
            <w:rPr>
              <w:bCs/>
              <w:lang w:val="zh-CN"/>
            </w:rPr>
            <w:fldChar w:fldCharType="separate"/>
          </w:r>
          <w:r>
            <w:rPr>
              <w:bCs w:val="0"/>
            </w:rPr>
            <w:t>5.4.4</w:t>
          </w:r>
          <w:r>
            <w:rPr>
              <w:rFonts w:hint="eastAsia"/>
              <w:bCs w:val="0"/>
            </w:rPr>
            <w:t>服务社区</w:t>
          </w:r>
          <w:r>
            <w:tab/>
          </w:r>
          <w:r>
            <w:fldChar w:fldCharType="begin"/>
          </w:r>
          <w:r>
            <w:instrText xml:space="preserve"> PAGEREF _Toc26810 \h </w:instrText>
          </w:r>
          <w:r>
            <w:fldChar w:fldCharType="separate"/>
          </w:r>
          <w:r>
            <w:t>41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_Toc8927 </w:instrText>
          </w:r>
          <w:r>
            <w:rPr>
              <w:bCs/>
              <w:lang w:val="zh-CN"/>
            </w:rPr>
            <w:fldChar w:fldCharType="separate"/>
          </w:r>
          <w:r>
            <w:t>5.5</w:t>
          </w:r>
          <w:r>
            <w:rPr>
              <w:rFonts w:hint="eastAsia"/>
            </w:rPr>
            <w:t>开展技术研发</w:t>
          </w:r>
          <w:r>
            <w:tab/>
          </w:r>
          <w:r>
            <w:fldChar w:fldCharType="begin"/>
          </w:r>
          <w:r>
            <w:instrText xml:space="preserve"> PAGEREF _Toc8927 \h </w:instrText>
          </w:r>
          <w:r>
            <w:fldChar w:fldCharType="separate"/>
          </w:r>
          <w:r>
            <w:t>42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_Toc27586 </w:instrText>
          </w:r>
          <w:r>
            <w:rPr>
              <w:bCs/>
              <w:lang w:val="zh-CN"/>
            </w:rPr>
            <w:fldChar w:fldCharType="separate"/>
          </w:r>
          <w:r>
            <w:rPr>
              <w:bCs w:val="0"/>
            </w:rPr>
            <w:t>5.5.1</w:t>
          </w:r>
          <w:r>
            <w:rPr>
              <w:rFonts w:hint="eastAsia"/>
              <w:bCs w:val="0"/>
            </w:rPr>
            <w:t>共建技术创新平台</w:t>
          </w:r>
          <w:r>
            <w:tab/>
          </w:r>
          <w:r>
            <w:fldChar w:fldCharType="begin"/>
          </w:r>
          <w:r>
            <w:instrText xml:space="preserve"> PAGEREF _Toc27586 \h </w:instrText>
          </w:r>
          <w:r>
            <w:fldChar w:fldCharType="separate"/>
          </w:r>
          <w:r>
            <w:t>42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_Toc25430 </w:instrText>
          </w:r>
          <w:r>
            <w:rPr>
              <w:bCs/>
              <w:lang w:val="zh-CN"/>
            </w:rPr>
            <w:fldChar w:fldCharType="separate"/>
          </w:r>
          <w:r>
            <w:rPr>
              <w:bCs w:val="0"/>
            </w:rPr>
            <w:t>5.5.2</w:t>
          </w:r>
          <w:r>
            <w:rPr>
              <w:rFonts w:hint="eastAsia"/>
              <w:bCs w:val="0"/>
            </w:rPr>
            <w:t>合作开展技术攻关</w:t>
          </w:r>
          <w:r>
            <w:tab/>
          </w:r>
          <w:r>
            <w:fldChar w:fldCharType="begin"/>
          </w:r>
          <w:r>
            <w:instrText xml:space="preserve"> PAGEREF _Toc25430 \h </w:instrText>
          </w:r>
          <w:r>
            <w:fldChar w:fldCharType="separate"/>
          </w:r>
          <w:r>
            <w:t>42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_Toc7502 </w:instrText>
          </w:r>
          <w:r>
            <w:rPr>
              <w:bCs/>
              <w:lang w:val="zh-CN"/>
            </w:rPr>
            <w:fldChar w:fldCharType="separate"/>
          </w:r>
          <w:r>
            <w:rPr>
              <w:bCs w:val="0"/>
            </w:rPr>
            <w:t>5.5.3</w:t>
          </w:r>
          <w:r>
            <w:rPr>
              <w:rFonts w:hint="eastAsia"/>
              <w:bCs w:val="0"/>
            </w:rPr>
            <w:t>持续推进自科基金项目研究</w:t>
          </w:r>
          <w:r>
            <w:tab/>
          </w:r>
          <w:r>
            <w:fldChar w:fldCharType="begin"/>
          </w:r>
          <w:r>
            <w:instrText xml:space="preserve"> PAGEREF _Toc7502 \h </w:instrText>
          </w:r>
          <w:r>
            <w:fldChar w:fldCharType="separate"/>
          </w:r>
          <w:r>
            <w:t>43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_Toc1788 </w:instrText>
          </w:r>
          <w:r>
            <w:rPr>
              <w:bCs/>
              <w:lang w:val="zh-CN"/>
            </w:rPr>
            <w:fldChar w:fldCharType="separate"/>
          </w:r>
          <w:r>
            <w:t>6</w:t>
          </w:r>
          <w:r>
            <w:rPr>
              <w:rFonts w:hint="eastAsia"/>
            </w:rPr>
            <w:t>面临挑战</w:t>
          </w:r>
          <w:r>
            <w:tab/>
          </w:r>
          <w:r>
            <w:fldChar w:fldCharType="begin"/>
          </w:r>
          <w:r>
            <w:instrText xml:space="preserve"> PAGEREF _Toc1788 \h </w:instrText>
          </w:r>
          <w:r>
            <w:fldChar w:fldCharType="separate"/>
          </w:r>
          <w:r>
            <w:t>43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_Toc22043 </w:instrText>
          </w:r>
          <w:r>
            <w:rPr>
              <w:bCs/>
              <w:lang w:val="zh-CN"/>
            </w:rPr>
            <w:fldChar w:fldCharType="separate"/>
          </w:r>
          <w:r>
            <w:rPr>
              <w:rFonts w:hint="eastAsia"/>
            </w:rPr>
            <w:t>数据表汇总</w:t>
          </w:r>
          <w:r>
            <w:tab/>
          </w:r>
          <w:r>
            <w:fldChar w:fldCharType="begin"/>
          </w:r>
          <w:r>
            <w:instrText xml:space="preserve"> PAGEREF _Toc22043 \h </w:instrText>
          </w:r>
          <w:r>
            <w:fldChar w:fldCharType="separate"/>
          </w:r>
          <w:r>
            <w:t>44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_Toc2936 </w:instrText>
          </w:r>
          <w:r>
            <w:rPr>
              <w:bCs/>
              <w:lang w:val="zh-CN"/>
            </w:rPr>
            <w:fldChar w:fldCharType="separate"/>
          </w:r>
          <w:r>
            <w:rPr>
              <w:rFonts w:hint="eastAsia"/>
            </w:rPr>
            <w:t>表</w:t>
          </w:r>
          <w:r>
            <w:t>1  计分卡</w:t>
          </w:r>
          <w:r>
            <w:tab/>
          </w:r>
          <w:r>
            <w:fldChar w:fldCharType="begin"/>
          </w:r>
          <w:r>
            <w:instrText xml:space="preserve"> PAGEREF _Toc2936 \h </w:instrText>
          </w:r>
          <w:r>
            <w:fldChar w:fldCharType="separate"/>
          </w:r>
          <w:r>
            <w:t>44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_Toc28073 </w:instrText>
          </w:r>
          <w:r>
            <w:rPr>
              <w:bCs/>
              <w:lang w:val="zh-CN"/>
            </w:rPr>
            <w:fldChar w:fldCharType="separate"/>
          </w:r>
          <w:r>
            <w:t>表</w:t>
          </w:r>
          <w:r>
            <w:rPr>
              <w:rFonts w:hint="eastAsia"/>
            </w:rPr>
            <w:t>2  学生反馈表</w:t>
          </w:r>
          <w:r>
            <w:tab/>
          </w:r>
          <w:r>
            <w:fldChar w:fldCharType="begin"/>
          </w:r>
          <w:r>
            <w:instrText xml:space="preserve"> PAGEREF _Toc28073 \h </w:instrText>
          </w:r>
          <w:r>
            <w:fldChar w:fldCharType="separate"/>
          </w:r>
          <w:r>
            <w:t>45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_Toc16621 </w:instrText>
          </w:r>
          <w:r>
            <w:rPr>
              <w:bCs/>
              <w:lang w:val="zh-CN"/>
            </w:rPr>
            <w:fldChar w:fldCharType="separate"/>
          </w:r>
          <w:r>
            <w:rPr>
              <w:rFonts w:hint="eastAsia"/>
            </w:rPr>
            <w:t>表3  教学资源表</w:t>
          </w:r>
          <w:r>
            <w:tab/>
          </w:r>
          <w:r>
            <w:fldChar w:fldCharType="begin"/>
          </w:r>
          <w:r>
            <w:instrText xml:space="preserve"> PAGEREF _Toc16621 \h </w:instrText>
          </w:r>
          <w:r>
            <w:fldChar w:fldCharType="separate"/>
          </w:r>
          <w:r>
            <w:t>47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_Toc6027 </w:instrText>
          </w:r>
          <w:r>
            <w:rPr>
              <w:bCs/>
              <w:lang w:val="zh-CN"/>
            </w:rPr>
            <w:fldChar w:fldCharType="separate"/>
          </w:r>
          <w:r>
            <w:t xml:space="preserve">表4 </w:t>
          </w:r>
          <w:r>
            <w:rPr>
              <w:rFonts w:hint="eastAsia"/>
            </w:rPr>
            <w:t xml:space="preserve"> </w:t>
          </w:r>
          <w:r>
            <w:t>国际影响表</w:t>
          </w:r>
          <w:r>
            <w:tab/>
          </w:r>
          <w:r>
            <w:fldChar w:fldCharType="begin"/>
          </w:r>
          <w:r>
            <w:instrText xml:space="preserve"> PAGEREF _Toc6027 \h </w:instrText>
          </w:r>
          <w:r>
            <w:fldChar w:fldCharType="separate"/>
          </w:r>
          <w:r>
            <w:t>48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_Toc10398 </w:instrText>
          </w:r>
          <w:r>
            <w:rPr>
              <w:bCs/>
              <w:lang w:val="zh-CN"/>
            </w:rPr>
            <w:fldChar w:fldCharType="separate"/>
          </w:r>
          <w:r>
            <w:t>表5</w:t>
          </w:r>
          <w:r>
            <w:rPr>
              <w:rFonts w:hint="eastAsia"/>
            </w:rPr>
            <w:t xml:space="preserve"> </w:t>
          </w:r>
          <w:r>
            <w:t xml:space="preserve"> 服务贡献表</w:t>
          </w:r>
          <w:r>
            <w:tab/>
          </w:r>
          <w:r>
            <w:fldChar w:fldCharType="begin"/>
          </w:r>
          <w:r>
            <w:instrText xml:space="preserve"> PAGEREF _Toc10398 \h </w:instrText>
          </w:r>
          <w:r>
            <w:fldChar w:fldCharType="separate"/>
          </w:r>
          <w:r>
            <w:t>49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_Toc25614 </w:instrText>
          </w:r>
          <w:r>
            <w:rPr>
              <w:bCs/>
              <w:lang w:val="zh-CN"/>
            </w:rPr>
            <w:fldChar w:fldCharType="separate"/>
          </w:r>
          <w:r>
            <w:t xml:space="preserve">表6 </w:t>
          </w:r>
          <w:r>
            <w:rPr>
              <w:rFonts w:hint="eastAsia"/>
            </w:rPr>
            <w:t xml:space="preserve"> </w:t>
          </w:r>
          <w:r>
            <w:t>落实政策表</w:t>
          </w:r>
          <w:r>
            <w:tab/>
          </w:r>
          <w:r>
            <w:fldChar w:fldCharType="begin"/>
          </w:r>
          <w:r>
            <w:instrText xml:space="preserve"> PAGEREF _Toc25614 \h </w:instrText>
          </w:r>
          <w:r>
            <w:fldChar w:fldCharType="separate"/>
          </w:r>
          <w:r>
            <w:t>51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_Toc7536 </w:instrText>
          </w:r>
          <w:r>
            <w:rPr>
              <w:bCs/>
              <w:lang w:val="zh-CN"/>
            </w:rPr>
            <w:fldChar w:fldCharType="separate"/>
          </w:r>
          <w:r>
            <w:rPr>
              <w:rFonts w:hint="eastAsia"/>
            </w:rPr>
            <w:t>表 7 相关数据表</w:t>
          </w:r>
          <w:r>
            <w:tab/>
          </w:r>
          <w:r>
            <w:fldChar w:fldCharType="begin"/>
          </w:r>
          <w:r>
            <w:instrText xml:space="preserve"> PAGEREF _Toc7536 \h </w:instrText>
          </w:r>
          <w:r>
            <w:fldChar w:fldCharType="separate"/>
          </w:r>
          <w:r>
            <w:t>52</w:t>
          </w:r>
          <w:r>
            <w:fldChar w:fldCharType="end"/>
          </w:r>
          <w:r>
            <w:rPr>
              <w:bCs/>
              <w:lang w:val="zh-CN"/>
            </w:rPr>
            <w:fldChar w:fldCharType="end"/>
          </w:r>
        </w:p>
        <w:p>
          <w:pPr>
            <w:rPr>
              <w:b/>
              <w:bCs/>
              <w:sz w:val="21"/>
              <w:lang w:val="zh-CN"/>
            </w:rPr>
          </w:pPr>
          <w:r>
            <w:rPr>
              <w:bCs/>
              <w:lang w:val="zh-CN"/>
            </w:rPr>
            <w:fldChar w:fldCharType="end"/>
          </w:r>
        </w:p>
      </w:sdtContent>
    </w:sdt>
    <w:p>
      <w:pPr>
        <w:rPr>
          <w:sz w:val="21"/>
          <w:lang w:val="zh-CN"/>
        </w:rPr>
      </w:pPr>
    </w:p>
    <w:p>
      <w:pPr>
        <w:rPr>
          <w:b/>
          <w:bCs/>
          <w:sz w:val="21"/>
          <w:lang w:val="zh-CN"/>
        </w:rPr>
      </w:pPr>
    </w:p>
    <w:p>
      <w:pPr>
        <w:pStyle w:val="2"/>
        <w:rPr>
          <w:rFonts w:hint="eastAsia"/>
        </w:rPr>
        <w:sectPr>
          <w:footerReference r:id="rId3" w:type="first"/>
          <w:pgSz w:w="11906" w:h="16838"/>
          <w:pgMar w:top="1440" w:right="1800" w:bottom="1440" w:left="1800" w:header="851" w:footer="992" w:gutter="0"/>
          <w:pgNumType w:start="1"/>
          <w:cols w:space="425" w:num="1"/>
          <w:titlePg/>
          <w:docGrid w:type="lines" w:linePitch="435" w:charSpace="0"/>
        </w:sectPr>
      </w:pPr>
    </w:p>
    <w:p>
      <w:pPr>
        <w:pStyle w:val="2"/>
      </w:pPr>
      <w:bookmarkStart w:id="0" w:name="_Toc20029"/>
      <w:r>
        <w:rPr>
          <w:rFonts w:hint="eastAsia"/>
        </w:rPr>
        <w:t>1</w:t>
      </w:r>
      <w:r>
        <w:t>.</w:t>
      </w:r>
      <w:r>
        <w:rPr>
          <w:rFonts w:hint="eastAsia"/>
        </w:rPr>
        <w:t>学生发展</w:t>
      </w:r>
      <w:bookmarkEnd w:id="0"/>
    </w:p>
    <w:p>
      <w:pPr>
        <w:pStyle w:val="4"/>
        <w:rPr>
          <w:b w:val="0"/>
          <w:bCs w:val="0"/>
        </w:rPr>
      </w:pPr>
      <w:bookmarkStart w:id="1" w:name="_Toc9332"/>
      <w:r>
        <w:rPr>
          <w:rFonts w:hint="eastAsia"/>
          <w:b w:val="0"/>
          <w:bCs w:val="0"/>
        </w:rPr>
        <w:t>1</w:t>
      </w:r>
      <w:r>
        <w:rPr>
          <w:b w:val="0"/>
          <w:bCs w:val="0"/>
        </w:rPr>
        <w:t>.1</w:t>
      </w:r>
      <w:r>
        <w:rPr>
          <w:rFonts w:hint="eastAsia"/>
          <w:b w:val="0"/>
          <w:bCs w:val="0"/>
        </w:rPr>
        <w:t>育人成效</w:t>
      </w:r>
      <w:bookmarkEnd w:id="1"/>
    </w:p>
    <w:p>
      <w:pPr>
        <w:pStyle w:val="4"/>
        <w:rPr>
          <w:b w:val="0"/>
          <w:bCs w:val="0"/>
        </w:rPr>
      </w:pPr>
      <w:bookmarkStart w:id="2" w:name="_Toc28633"/>
      <w:r>
        <w:rPr>
          <w:rFonts w:hint="eastAsia"/>
          <w:b w:val="0"/>
          <w:bCs w:val="0"/>
        </w:rPr>
        <w:t>1</w:t>
      </w:r>
      <w:r>
        <w:rPr>
          <w:b w:val="0"/>
          <w:bCs w:val="0"/>
        </w:rPr>
        <w:t>.1.1</w:t>
      </w:r>
      <w:r>
        <w:rPr>
          <w:rFonts w:hint="eastAsia"/>
          <w:b w:val="0"/>
          <w:bCs w:val="0"/>
        </w:rPr>
        <w:t>基本素养</w:t>
      </w:r>
      <w:bookmarkEnd w:id="2"/>
    </w:p>
    <w:p>
      <w:pPr>
        <w:autoSpaceDE w:val="0"/>
        <w:autoSpaceDN w:val="0"/>
        <w:spacing w:before="190"/>
        <w:ind w:left="936" w:firstLine="640" w:firstLineChars="200"/>
        <w:jc w:val="left"/>
        <w:rPr>
          <w:rFonts w:ascii="仿宋" w:hAnsi="仿宋"/>
          <w:szCs w:val="32"/>
        </w:rPr>
      </w:pPr>
      <w:r>
        <w:rPr>
          <w:rFonts w:hint="eastAsia" w:ascii="仿宋" w:hAnsi="仿宋"/>
          <w:szCs w:val="32"/>
        </w:rPr>
        <w:t>学院以立德树人为根本任务，秉持“德艺双馨，敢为人先”的校训和“围绕舞台，造就人才；立足文旅，服务社会”的办学理念，不断探索校企合作的道路，加强产、学、研融合，拓展职业教育的新理念、新视野，大力弘扬文艺“工匠精神”，培养高素质、多样化的艺术人才。实施“德育学分”的德育管理制度，德育工作的实效性显著提升，德育品牌的影响力显著增强，以全方位、多角度、立体式的素质教育育人体系，服务学生成长成才。</w:t>
      </w:r>
    </w:p>
    <w:p>
      <w:pPr>
        <w:autoSpaceDE w:val="0"/>
        <w:autoSpaceDN w:val="0"/>
        <w:spacing w:before="190"/>
        <w:ind w:left="936" w:firstLine="640" w:firstLineChars="200"/>
        <w:jc w:val="left"/>
        <w:rPr>
          <w:rFonts w:ascii="仿宋" w:hAnsi="仿宋"/>
          <w:szCs w:val="32"/>
        </w:rPr>
      </w:pPr>
      <w:r>
        <w:rPr>
          <w:rFonts w:hint="eastAsia" w:ascii="仿宋" w:hAnsi="仿宋"/>
          <w:szCs w:val="32"/>
        </w:rPr>
        <w:t>学院坚持深化党建带团建，进一步深化推进我院共青团和学生会组织各项改革工作落地见效，持续推进从严治团以及基层团组织规范化建设。突出思想政治引领核心任务，不断增强我院共青团的政治性、先进性、群众性，重点打造青年媒体主要阵地，全面铺开公众号、抖音号的教育宣传平台。重点打造“湖艺团小青”、“湖艺学生会”、“湖艺学社联”、“青媒君”三个团属新媒体平台</w:t>
      </w:r>
      <w:r>
        <w:rPr>
          <w:rFonts w:ascii="仿宋" w:hAnsi="仿宋"/>
          <w:szCs w:val="32"/>
        </w:rPr>
        <w:t>,作为学院团委网络思想政治教育宣传的重要输出端口。搭建第二课堂平台，用心服务学生成长成才，更好地发挥大学生素质拓展活动教育的育人功能，增强学生学习的主动性、积极性和创造性，增</w:t>
      </w:r>
      <w:r>
        <w:rPr>
          <w:rFonts w:hint="eastAsia" w:ascii="仿宋" w:hAnsi="仿宋"/>
          <w:szCs w:val="32"/>
        </w:rPr>
        <w:t>强学生的创业能力、实践能力和创新能力，培养适应时代发展需要的高素质人才。</w:t>
      </w:r>
      <w:r>
        <w:rPr>
          <w:rFonts w:ascii="Calibri" w:hAnsi="Calibri" w:cs="Calibri"/>
          <w:szCs w:val="32"/>
        </w:rPr>
        <w:t> </w:t>
      </w:r>
    </w:p>
    <w:p>
      <w:pPr>
        <w:autoSpaceDE w:val="0"/>
        <w:autoSpaceDN w:val="0"/>
        <w:spacing w:before="190"/>
        <w:ind w:left="936" w:firstLine="640" w:firstLineChars="200"/>
        <w:jc w:val="left"/>
        <w:rPr>
          <w:rFonts w:ascii="仿宋" w:hAnsi="仿宋"/>
          <w:szCs w:val="32"/>
        </w:rPr>
      </w:pPr>
      <w:r>
        <w:rPr>
          <w:rFonts w:ascii="仿宋" w:hAnsi="仿宋"/>
          <w:szCs w:val="32"/>
        </w:rPr>
        <w:t>2020年，我院以国务院办公厅、中央军委办公厅《关于深化学生军事训练改革的意见》和教育部、中央军委国防动员部《2020年学生军事训练工作要点》精神为指导，紧紧围绕“立德树人”根本任务和强军目标要求，圆满完成了年度学生军训任务，有效提升了2020级新生的国防意识和军事素养，得到了上级领导和学校师生的一致认可</w:t>
      </w:r>
      <w:r>
        <w:rPr>
          <w:rFonts w:hint="eastAsia" w:ascii="仿宋" w:hAnsi="仿宋"/>
          <w:szCs w:val="32"/>
        </w:rPr>
        <w:t>，被评为</w:t>
      </w:r>
      <w:r>
        <w:rPr>
          <w:rFonts w:ascii="仿宋" w:hAnsi="仿宋"/>
          <w:szCs w:val="32"/>
        </w:rPr>
        <w:t>2020年军训工作先进单位。</w:t>
      </w:r>
    </w:p>
    <w:p>
      <w:pPr>
        <w:pStyle w:val="4"/>
        <w:rPr>
          <w:b w:val="0"/>
          <w:bCs w:val="0"/>
        </w:rPr>
      </w:pPr>
      <w:bookmarkStart w:id="3" w:name="_Toc7937"/>
      <w:r>
        <w:rPr>
          <w:rFonts w:hint="eastAsia"/>
          <w:b w:val="0"/>
          <w:bCs w:val="0"/>
        </w:rPr>
        <w:t>1</w:t>
      </w:r>
      <w:r>
        <w:rPr>
          <w:b w:val="0"/>
          <w:bCs w:val="0"/>
        </w:rPr>
        <w:t>.1.2</w:t>
      </w:r>
      <w:r>
        <w:rPr>
          <w:rFonts w:hint="eastAsia"/>
          <w:b w:val="0"/>
          <w:bCs w:val="0"/>
        </w:rPr>
        <w:t>实践能力</w:t>
      </w:r>
      <w:bookmarkEnd w:id="3"/>
    </w:p>
    <w:p>
      <w:pPr>
        <w:autoSpaceDE w:val="0"/>
        <w:autoSpaceDN w:val="0"/>
        <w:spacing w:before="190"/>
        <w:ind w:left="936" w:firstLine="640" w:firstLineChars="200"/>
        <w:jc w:val="left"/>
        <w:rPr>
          <w:rFonts w:ascii="仿宋" w:hAnsi="仿宋"/>
          <w:szCs w:val="32"/>
        </w:rPr>
      </w:pPr>
      <w:r>
        <w:rPr>
          <w:rFonts w:hint="eastAsia" w:ascii="仿宋" w:hAnsi="仿宋"/>
          <w:szCs w:val="32"/>
        </w:rPr>
        <w:t>学校始终重点关注学生职业能力的培养，坚持以培养学生职业能力为出发点，面向岗位开设课程，面向就业加强技能。在专业学习领域，以典型工作任务和主要工作岗位为载体，以工作内容为主线进行专业课程体系构建，使学生在完成任务的过程中，不仅掌握知识技能，还通过合作沟通加强了素质教育，强化了职业道德和职业能力的培养</w:t>
      </w:r>
      <w:r>
        <w:rPr>
          <w:rFonts w:ascii="仿宋" w:hAnsi="仿宋"/>
          <w:szCs w:val="32"/>
        </w:rPr>
        <w:t>。</w:t>
      </w:r>
    </w:p>
    <w:p>
      <w:pPr>
        <w:autoSpaceDE w:val="0"/>
        <w:autoSpaceDN w:val="0"/>
        <w:spacing w:before="190"/>
        <w:ind w:left="936" w:firstLine="640" w:firstLineChars="200"/>
        <w:jc w:val="left"/>
        <w:rPr>
          <w:rFonts w:ascii="仿宋" w:hAnsi="仿宋"/>
          <w:szCs w:val="32"/>
        </w:rPr>
      </w:pPr>
      <w:r>
        <w:rPr>
          <w:rFonts w:ascii="仿宋" w:hAnsi="仿宋"/>
          <w:szCs w:val="32"/>
        </w:rPr>
        <w:t>业精于勤，学院牢牢把握实践实训窗口，稳抓专业技能提升，开展职业技能大赛等多种举措来激发学生学习的热情，促进学生学业水平的提升。今年是中国共产党成立100周年，我院以“乡村振兴 青春建功”为主题，重点组建乡村振兴实践服务团队，奔赴洞口县高沙镇温塘村开展艺术支教活动。由院团委选派的20名优秀志愿者们用情用心的投入，克服了参学学员年龄层次</w:t>
      </w:r>
      <w:r>
        <w:rPr>
          <w:rFonts w:hint="eastAsia" w:ascii="仿宋" w:hAnsi="仿宋"/>
          <w:szCs w:val="32"/>
        </w:rPr>
        <w:t>跨度大、学员人数众多、课堂管理难度大、高温酷暑等各种困难，为</w:t>
      </w:r>
      <w:r>
        <w:rPr>
          <w:rFonts w:ascii="仿宋" w:hAnsi="仿宋"/>
          <w:szCs w:val="32"/>
        </w:rPr>
        <w:t>360余名温塘村民提供文化艺术教育</w:t>
      </w:r>
      <w:r>
        <w:rPr>
          <w:rFonts w:hint="eastAsia" w:ascii="仿宋" w:hAnsi="仿宋"/>
          <w:szCs w:val="32"/>
        </w:rPr>
        <w:t>，</w:t>
      </w:r>
      <w:r>
        <w:rPr>
          <w:rFonts w:ascii="仿宋" w:hAnsi="仿宋"/>
          <w:szCs w:val="32"/>
        </w:rPr>
        <w:t>得到当地群众高度肯定和爱戴</w:t>
      </w:r>
      <w:r>
        <w:rPr>
          <w:rFonts w:hint="eastAsia" w:ascii="仿宋" w:hAnsi="仿宋"/>
          <w:szCs w:val="32"/>
        </w:rPr>
        <w:t>，</w:t>
      </w:r>
      <w:r>
        <w:rPr>
          <w:rFonts w:ascii="仿宋" w:hAnsi="仿宋"/>
          <w:szCs w:val="32"/>
        </w:rPr>
        <w:t>充分展现了我院青年师生，在新时代奋斗中的勇于担当，甘于奉献，努力实践的精神风貌。</w:t>
      </w:r>
    </w:p>
    <w:p>
      <w:pPr>
        <w:autoSpaceDE w:val="0"/>
        <w:autoSpaceDN w:val="0"/>
        <w:spacing w:before="190"/>
        <w:ind w:firstLine="843" w:firstLineChars="300"/>
        <w:jc w:val="left"/>
        <w:rPr>
          <w:rFonts w:ascii="楷体" w:hAnsi="楷体" w:eastAsia="楷体"/>
          <w:b/>
          <w:bCs/>
          <w:sz w:val="28"/>
          <w:szCs w:val="28"/>
        </w:rPr>
      </w:pPr>
    </w:p>
    <w:p>
      <w:pPr>
        <w:autoSpaceDE w:val="0"/>
        <w:autoSpaceDN w:val="0"/>
        <w:spacing w:before="190"/>
        <w:ind w:firstLine="843" w:firstLineChars="300"/>
        <w:jc w:val="left"/>
        <w:rPr>
          <w:rFonts w:ascii="楷体" w:hAnsi="楷体" w:eastAsia="楷体"/>
          <w:b/>
          <w:bCs/>
          <w:sz w:val="28"/>
          <w:szCs w:val="28"/>
        </w:rPr>
      </w:pPr>
      <w:r>
        <w:rPr>
          <w:rFonts w:hint="eastAsia" w:ascii="楷体" w:hAnsi="楷体" w:eastAsia="楷体"/>
          <w:b/>
          <w:bCs/>
          <w:sz w:val="28"/>
          <w:szCs w:val="28"/>
        </w:rPr>
        <w:t>【案例</w:t>
      </w:r>
      <w:r>
        <w:rPr>
          <w:rFonts w:ascii="楷体" w:hAnsi="楷体" w:eastAsia="楷体"/>
          <w:b/>
          <w:bCs/>
          <w:sz w:val="28"/>
          <w:szCs w:val="28"/>
        </w:rPr>
        <w:t>1-1】</w:t>
      </w:r>
      <w:r>
        <w:rPr>
          <w:rFonts w:hint="eastAsia" w:ascii="楷体" w:hAnsi="楷体" w:eastAsia="楷体"/>
          <w:b/>
          <w:bCs/>
          <w:sz w:val="28"/>
          <w:szCs w:val="28"/>
        </w:rPr>
        <w:t>“起舞”十三载，育人树品牌</w:t>
      </w:r>
    </w:p>
    <w:p>
      <w:pPr>
        <w:autoSpaceDE w:val="0"/>
        <w:autoSpaceDN w:val="0"/>
        <w:spacing w:before="190"/>
        <w:ind w:left="936" w:firstLine="560" w:firstLineChars="200"/>
        <w:jc w:val="left"/>
        <w:rPr>
          <w:rFonts w:ascii="楷体" w:hAnsi="楷体" w:eastAsia="楷体"/>
          <w:sz w:val="28"/>
          <w:szCs w:val="28"/>
        </w:rPr>
      </w:pPr>
      <w:r>
        <w:rPr>
          <w:rFonts w:hint="eastAsia" w:ascii="楷体" w:hAnsi="楷体" w:eastAsia="楷体"/>
          <w:sz w:val="28"/>
          <w:szCs w:val="28"/>
        </w:rPr>
        <w:t>经过近段时间的激烈角逐，学院舞蹈系第十三届舞蹈大赛</w:t>
      </w:r>
      <w:r>
        <w:rPr>
          <w:rFonts w:ascii="楷体" w:hAnsi="楷体" w:eastAsia="楷体"/>
          <w:sz w:val="28"/>
          <w:szCs w:val="28"/>
        </w:rPr>
        <w:t>在臻艺楼“黑匣子”落下帷幕。</w:t>
      </w:r>
    </w:p>
    <w:p>
      <w:pPr>
        <w:autoSpaceDE w:val="0"/>
        <w:autoSpaceDN w:val="0"/>
        <w:spacing w:before="190"/>
        <w:ind w:left="936" w:firstLine="560" w:firstLineChars="200"/>
        <w:jc w:val="left"/>
        <w:rPr>
          <w:rFonts w:ascii="楷体" w:hAnsi="楷体" w:eastAsia="楷体"/>
          <w:w w:val="90"/>
          <w:sz w:val="28"/>
          <w:szCs w:val="28"/>
        </w:rPr>
      </w:pPr>
      <w:r>
        <w:rPr>
          <w:rFonts w:ascii="楷体" w:hAnsi="楷体" w:eastAsia="楷体"/>
          <w:sz w:val="28"/>
          <w:szCs w:val="28"/>
        </w:rPr>
        <w:t>舞蹈大赛是舞蹈系每年举办的经典品牌活动，至今已走过</w:t>
      </w:r>
      <w:r>
        <w:rPr>
          <w:rFonts w:hint="eastAsia" w:ascii="楷体" w:hAnsi="楷体" w:eastAsia="楷体"/>
          <w:sz w:val="28"/>
          <w:szCs w:val="28"/>
        </w:rPr>
        <w:t>1</w:t>
      </w:r>
      <w:r>
        <w:rPr>
          <w:rFonts w:ascii="楷体" w:hAnsi="楷体" w:eastAsia="楷体"/>
          <w:sz w:val="28"/>
          <w:szCs w:val="28"/>
        </w:rPr>
        <w:t>3个年头，深得广大师生喜爱。本届舞蹈大赛自启动以来，吸引了近400名选手参与。比赛现场，无论是中国古典舞，还是民族民间舞，抑或是现当代舞；无论是单人舞，还是双人舞，抑或是三人舞，生动的肢体语言、精湛的技巧动</w:t>
      </w:r>
      <w:r>
        <w:rPr>
          <w:rFonts w:ascii="楷体" w:hAnsi="楷体" w:eastAsia="楷体"/>
          <w:w w:val="94"/>
          <w:sz w:val="28"/>
          <w:szCs w:val="28"/>
        </w:rPr>
        <w:t>作、深情的现场演绎，无不展现出选手高、精、尖的专业水准。</w:t>
      </w:r>
    </w:p>
    <w:p>
      <w:pPr>
        <w:autoSpaceDE w:val="0"/>
        <w:autoSpaceDN w:val="0"/>
        <w:spacing w:before="190"/>
        <w:ind w:left="936" w:firstLine="560" w:firstLineChars="200"/>
        <w:jc w:val="left"/>
        <w:rPr>
          <w:rFonts w:ascii="楷体" w:hAnsi="楷体" w:eastAsia="楷体"/>
          <w:sz w:val="28"/>
          <w:szCs w:val="28"/>
        </w:rPr>
      </w:pPr>
      <w:r>
        <w:rPr>
          <w:rFonts w:ascii="楷体" w:hAnsi="楷体" w:eastAsia="楷体"/>
          <w:sz w:val="28"/>
          <w:szCs w:val="28"/>
        </w:rPr>
        <w:t>值得一提的是，此次比赛专门在赛制上向职业技能大赛看齐，在传统项目展示的基础上，新增了技术技巧组合环节，旨在为</w:t>
      </w:r>
      <w:r>
        <w:rPr>
          <w:rFonts w:hint="eastAsia" w:ascii="楷体" w:hAnsi="楷体" w:eastAsia="楷体"/>
          <w:sz w:val="28"/>
          <w:szCs w:val="28"/>
        </w:rPr>
        <w:t>来年职业技能大赛遴选人才。</w:t>
      </w:r>
    </w:p>
    <w:p>
      <w:pPr>
        <w:autoSpaceDE w:val="0"/>
        <w:autoSpaceDN w:val="0"/>
        <w:spacing w:before="190"/>
        <w:ind w:firstLine="280" w:firstLineChars="100"/>
        <w:rPr>
          <w:rFonts w:ascii="楷体" w:hAnsi="楷体" w:eastAsia="楷体"/>
          <w:sz w:val="28"/>
          <w:szCs w:val="28"/>
        </w:rPr>
      </w:pPr>
      <w:r>
        <w:rPr>
          <w:rFonts w:hint="eastAsia" w:ascii="楷体" w:hAnsi="楷体" w:eastAsia="楷体"/>
          <w:sz w:val="28"/>
          <w:szCs w:val="28"/>
        </w:rPr>
        <w:drawing>
          <wp:inline distT="0" distB="0" distL="0" distR="0">
            <wp:extent cx="5274310" cy="5321300"/>
            <wp:effectExtent l="0" t="0" r="2540" b="0"/>
            <wp:docPr id="9" name="图片 9" descr="图片包含 室内, 球, 院子, 监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室内, 球, 院子, 监控&#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321300"/>
                    </a:xfrm>
                    <a:prstGeom prst="rect">
                      <a:avLst/>
                    </a:prstGeom>
                  </pic:spPr>
                </pic:pic>
              </a:graphicData>
            </a:graphic>
          </wp:inline>
        </w:drawing>
      </w:r>
    </w:p>
    <w:p>
      <w:pPr>
        <w:autoSpaceDE w:val="0"/>
        <w:autoSpaceDN w:val="0"/>
        <w:spacing w:before="190"/>
        <w:ind w:firstLine="280" w:firstLineChars="100"/>
        <w:jc w:val="center"/>
        <w:rPr>
          <w:rFonts w:ascii="楷体" w:hAnsi="楷体" w:eastAsia="楷体"/>
          <w:sz w:val="28"/>
          <w:szCs w:val="28"/>
        </w:rPr>
      </w:pPr>
      <w:r>
        <w:rPr>
          <w:rFonts w:hint="eastAsia" w:ascii="楷体" w:hAnsi="楷体" w:eastAsia="楷体"/>
          <w:sz w:val="28"/>
          <w:szCs w:val="28"/>
        </w:rPr>
        <w:t>图1</w:t>
      </w:r>
      <w:r>
        <w:rPr>
          <w:rFonts w:ascii="楷体" w:hAnsi="楷体" w:eastAsia="楷体"/>
          <w:sz w:val="28"/>
          <w:szCs w:val="28"/>
        </w:rPr>
        <w:t xml:space="preserve">-1 </w:t>
      </w:r>
      <w:r>
        <w:rPr>
          <w:rFonts w:hint="eastAsia" w:ascii="楷体" w:hAnsi="楷体" w:eastAsia="楷体"/>
          <w:sz w:val="28"/>
          <w:szCs w:val="28"/>
        </w:rPr>
        <w:t>舞蹈系第十三届舞蹈大赛掠影</w:t>
      </w:r>
    </w:p>
    <w:p>
      <w:pPr>
        <w:autoSpaceDE w:val="0"/>
        <w:autoSpaceDN w:val="0"/>
        <w:spacing w:before="190"/>
        <w:ind w:left="936" w:firstLine="640" w:firstLineChars="200"/>
        <w:jc w:val="left"/>
        <w:rPr>
          <w:rFonts w:ascii="仿宋" w:hAnsi="仿宋"/>
          <w:szCs w:val="32"/>
        </w:rPr>
      </w:pPr>
      <w:r>
        <w:rPr>
          <w:rFonts w:hint="eastAsia" w:ascii="仿宋" w:hAnsi="仿宋"/>
          <w:szCs w:val="32"/>
        </w:rPr>
        <w:t>学院长期坚持</w:t>
      </w:r>
      <w:r>
        <w:rPr>
          <w:rFonts w:ascii="仿宋" w:hAnsi="仿宋"/>
          <w:szCs w:val="32"/>
        </w:rPr>
        <w:t>构建“课堂+舞台”的专业实践育人模式。我院大型原创革命题材花鼓戏《徐特立》在省花鼓戏保护传承中心上演</w:t>
      </w:r>
      <w:r>
        <w:rPr>
          <w:rFonts w:hint="eastAsia" w:ascii="仿宋" w:hAnsi="仿宋"/>
          <w:szCs w:val="32"/>
        </w:rPr>
        <w:t>；</w:t>
      </w:r>
      <w:r>
        <w:rPr>
          <w:rFonts w:ascii="仿宋" w:hAnsi="仿宋"/>
          <w:szCs w:val="32"/>
        </w:rPr>
        <w:t>学院原创花鼓戏《大姐》入选第七届湖南艺术节新</w:t>
      </w:r>
      <w:r>
        <w:rPr>
          <w:rFonts w:hint="eastAsia" w:ascii="仿宋" w:hAnsi="仿宋"/>
          <w:szCs w:val="32"/>
        </w:rPr>
        <w:t>创小戏展；学院舞蹈系与长沙浏阳戏窝子文化传媒有限公司联合打造儿童舞剧《梅花仙子》等都很好地为学生搭建实践平台，让</w:t>
      </w:r>
      <w:r>
        <w:rPr>
          <w:rFonts w:hint="eastAsia" w:ascii="仿宋" w:hAnsi="仿宋"/>
          <w:w w:val="92"/>
          <w:szCs w:val="32"/>
        </w:rPr>
        <w:t>学生们能在舞台上大放异彩，提升自身的艺术实践能力。</w:t>
      </w:r>
    </w:p>
    <w:p>
      <w:pPr>
        <w:pStyle w:val="4"/>
        <w:rPr>
          <w:b w:val="0"/>
          <w:bCs w:val="0"/>
        </w:rPr>
      </w:pPr>
      <w:bookmarkStart w:id="4" w:name="_Toc11058"/>
      <w:r>
        <w:rPr>
          <w:rFonts w:hint="eastAsia"/>
          <w:b w:val="0"/>
          <w:bCs w:val="0"/>
        </w:rPr>
        <w:t>1</w:t>
      </w:r>
      <w:r>
        <w:rPr>
          <w:b w:val="0"/>
          <w:bCs w:val="0"/>
        </w:rPr>
        <w:t>.1.3</w:t>
      </w:r>
      <w:r>
        <w:rPr>
          <w:rFonts w:hint="eastAsia"/>
          <w:b w:val="0"/>
          <w:bCs w:val="0"/>
        </w:rPr>
        <w:t>身</w:t>
      </w:r>
      <w:r>
        <w:rPr>
          <w:rFonts w:hint="eastAsia" w:ascii="宋体" w:hAnsi="宋体"/>
          <w:b w:val="0"/>
          <w:bCs w:val="0"/>
        </w:rPr>
        <w:t>心</w:t>
      </w:r>
      <w:r>
        <w:rPr>
          <w:rFonts w:hint="eastAsia"/>
          <w:b w:val="0"/>
          <w:bCs w:val="0"/>
        </w:rPr>
        <w:t>素质</w:t>
      </w:r>
      <w:bookmarkEnd w:id="4"/>
    </w:p>
    <w:p>
      <w:pPr>
        <w:autoSpaceDE w:val="0"/>
        <w:autoSpaceDN w:val="0"/>
        <w:spacing w:before="190"/>
        <w:ind w:left="936" w:firstLine="640" w:firstLineChars="200"/>
        <w:jc w:val="left"/>
        <w:rPr>
          <w:rFonts w:ascii="仿宋" w:hAnsi="仿宋"/>
          <w:szCs w:val="32"/>
        </w:rPr>
      </w:pPr>
      <w:r>
        <w:rPr>
          <w:rFonts w:hint="eastAsia" w:ascii="仿宋" w:hAnsi="仿宋"/>
          <w:szCs w:val="32"/>
        </w:rPr>
        <w:t>学院将保障心理健康教育作为日常化工作，并坚持以预防为主为原则进行引导，成立了心理健康教育工作领导小组，下设心理健康教育中心，各专业系均设有心理咨询室，承担学院学生心理健康教育与疏导</w:t>
      </w:r>
      <w:r>
        <w:rPr>
          <w:rFonts w:ascii="仿宋" w:hAnsi="仿宋"/>
          <w:szCs w:val="32"/>
        </w:rPr>
        <w:t>,教育教学、实践活动、咨询服务、预防干预“四位一体” 的心理健康教育工作格局,心理健康教育的覆盖面、受益面不断扩大，学生心理健康意识明显增强，常见精神障碍和心理行为问题预防、识别、干预能力和水平不断提高。</w:t>
      </w:r>
    </w:p>
    <w:p>
      <w:pPr>
        <w:autoSpaceDE w:val="0"/>
        <w:autoSpaceDN w:val="0"/>
        <w:spacing w:before="190"/>
        <w:ind w:left="936" w:firstLine="640" w:firstLineChars="200"/>
        <w:jc w:val="left"/>
        <w:rPr>
          <w:rFonts w:ascii="仿宋" w:hAnsi="仿宋"/>
          <w:szCs w:val="32"/>
        </w:rPr>
      </w:pPr>
      <w:r>
        <w:rPr>
          <w:rFonts w:ascii="仿宋" w:hAnsi="仿宋"/>
          <w:szCs w:val="32"/>
        </w:rPr>
        <w:t>2020</w:t>
      </w:r>
      <w:r>
        <w:rPr>
          <w:rFonts w:hint="eastAsia" w:ascii="仿宋" w:hAnsi="仿宋"/>
          <w:szCs w:val="32"/>
        </w:rPr>
        <w:t>年</w:t>
      </w:r>
      <w:r>
        <w:rPr>
          <w:rFonts w:ascii="仿宋" w:hAnsi="仿宋"/>
          <w:szCs w:val="32"/>
        </w:rPr>
        <w:t>12月，</w:t>
      </w:r>
      <w:r>
        <w:rPr>
          <w:rFonts w:hint="eastAsia" w:ascii="仿宋" w:hAnsi="仿宋"/>
          <w:szCs w:val="32"/>
        </w:rPr>
        <w:t>在</w:t>
      </w:r>
      <w:r>
        <w:rPr>
          <w:rFonts w:ascii="仿宋" w:hAnsi="仿宋"/>
          <w:szCs w:val="32"/>
        </w:rPr>
        <w:t>湖南省心理卫生协会大学生心理咨询专业委员会第十五届学术年会</w:t>
      </w:r>
      <w:r>
        <w:rPr>
          <w:rFonts w:hint="eastAsia" w:ascii="仿宋" w:hAnsi="仿宋"/>
          <w:szCs w:val="32"/>
        </w:rPr>
        <w:t>上，</w:t>
      </w:r>
      <w:r>
        <w:rPr>
          <w:rFonts w:ascii="仿宋" w:hAnsi="仿宋"/>
          <w:szCs w:val="32"/>
        </w:rPr>
        <w:t>我院荣获“2019-2020年度湖南省高校心理健康教育先进单位”称号，学院心理协会被评为优秀心理类学生社团，学工处副处长胡昌林同志被评为湖南省高校心理健康教育先进个人。</w:t>
      </w:r>
    </w:p>
    <w:p>
      <w:pPr>
        <w:pStyle w:val="4"/>
        <w:rPr>
          <w:b w:val="0"/>
          <w:bCs w:val="0"/>
        </w:rPr>
      </w:pPr>
      <w:bookmarkStart w:id="5" w:name="_Toc4244"/>
      <w:r>
        <w:rPr>
          <w:rFonts w:hint="eastAsia"/>
          <w:b w:val="0"/>
          <w:bCs w:val="0"/>
        </w:rPr>
        <w:t>1</w:t>
      </w:r>
      <w:r>
        <w:rPr>
          <w:b w:val="0"/>
          <w:bCs w:val="0"/>
        </w:rPr>
        <w:t>.1.4</w:t>
      </w:r>
      <w:r>
        <w:rPr>
          <w:rFonts w:hint="eastAsia"/>
          <w:b w:val="0"/>
          <w:bCs w:val="0"/>
        </w:rPr>
        <w:t>学生服务</w:t>
      </w:r>
      <w:bookmarkEnd w:id="5"/>
    </w:p>
    <w:p>
      <w:pPr>
        <w:autoSpaceDE w:val="0"/>
        <w:autoSpaceDN w:val="0"/>
        <w:spacing w:before="190"/>
        <w:ind w:left="936" w:firstLine="640" w:firstLineChars="200"/>
        <w:jc w:val="left"/>
        <w:rPr>
          <w:rFonts w:ascii="仿宋" w:hAnsi="仿宋"/>
          <w:szCs w:val="32"/>
        </w:rPr>
      </w:pPr>
      <w:r>
        <w:rPr>
          <w:rFonts w:hint="eastAsia" w:ascii="仿宋" w:hAnsi="仿宋"/>
          <w:szCs w:val="32"/>
        </w:rPr>
        <w:t>校园文化建设服务方面。学院支持各类健康、向上、富有正能量的校园活动开展，各种社团活动成为了学生享受课余生活的重要方式。学校文化建设体系完善，社团服务能力与整体水平较高，覆盖面广，达到了全员覆盖。通过调查问卷、现场走访调研的形式，对全年活动开展情况认真分析，学生满意度颇高，</w:t>
      </w:r>
      <w:r>
        <w:rPr>
          <w:rFonts w:ascii="仿宋" w:hAnsi="仿宋"/>
          <w:szCs w:val="32"/>
        </w:rPr>
        <w:t>2019年为93%，2020年为95%，2021年均达到96%以上。</w:t>
      </w:r>
    </w:p>
    <w:p>
      <w:pPr>
        <w:autoSpaceDE w:val="0"/>
        <w:autoSpaceDN w:val="0"/>
        <w:spacing w:before="190"/>
        <w:ind w:left="936" w:firstLine="640" w:firstLineChars="200"/>
        <w:jc w:val="left"/>
        <w:rPr>
          <w:rFonts w:ascii="仿宋" w:hAnsi="仿宋"/>
          <w:szCs w:val="32"/>
        </w:rPr>
      </w:pPr>
      <w:r>
        <w:rPr>
          <w:rFonts w:hint="eastAsia" w:ascii="仿宋" w:hAnsi="仿宋"/>
          <w:szCs w:val="32"/>
        </w:rPr>
        <w:t>校园疫情防控服务方面。</w:t>
      </w:r>
      <w:r>
        <w:rPr>
          <w:rFonts w:ascii="仿宋" w:hAnsi="仿宋"/>
          <w:szCs w:val="32"/>
        </w:rPr>
        <w:t>2021年为疫情防控的重点年份，学院在“人防、物防、技防”三防建设上继续加大投入力度，安保队伍65人，各楼栋均设有专职安保人员2名，实行24小时值班值。学校实施封闭管理，严格</w:t>
      </w:r>
      <w:r>
        <w:rPr>
          <w:rFonts w:hint="eastAsia" w:ascii="仿宋" w:hAnsi="仿宋"/>
          <w:szCs w:val="32"/>
        </w:rPr>
        <w:t>管控学生进出校门，继续落实疫情防控工作机制，强化应急处置，按照“点线面结合、闭环处置、精准管控，全方位保证校园安全。校内外秩序井然，和谐、稳定，得到了社会各界一致好评。通过问卷调查，今年</w:t>
      </w:r>
      <w:r>
        <w:rPr>
          <w:rFonts w:ascii="仿宋" w:hAnsi="仿宋"/>
          <w:szCs w:val="32"/>
        </w:rPr>
        <w:t>师生</w:t>
      </w:r>
      <w:r>
        <w:rPr>
          <w:rFonts w:hint="eastAsia" w:ascii="仿宋" w:hAnsi="仿宋"/>
          <w:szCs w:val="32"/>
        </w:rPr>
        <w:t>对学院的疫情防控工作</w:t>
      </w:r>
      <w:r>
        <w:rPr>
          <w:rFonts w:ascii="仿宋" w:hAnsi="仿宋"/>
          <w:szCs w:val="32"/>
        </w:rPr>
        <w:t>满意度达98%以上。</w:t>
      </w:r>
    </w:p>
    <w:p>
      <w:pPr>
        <w:autoSpaceDE w:val="0"/>
        <w:autoSpaceDN w:val="0"/>
        <w:spacing w:before="190"/>
        <w:ind w:left="936" w:firstLine="640" w:firstLineChars="200"/>
        <w:jc w:val="left"/>
        <w:rPr>
          <w:rFonts w:ascii="仿宋" w:hAnsi="仿宋"/>
          <w:szCs w:val="32"/>
        </w:rPr>
      </w:pPr>
      <w:r>
        <w:rPr>
          <w:rFonts w:hint="eastAsia" w:ascii="仿宋" w:hAnsi="仿宋"/>
          <w:szCs w:val="32"/>
        </w:rPr>
        <w:t>成长成才服务方面。2021年出台了《湖南艺术职业学院班主任工作管理办法》，将班主任队伍建设成为服务学生成长成才的一支重要力量，使班主任工作规范化、制度化、科学化，对班主任的聘任、管理与考核提出明确要求,进一步加强和改进我院大学生思想政治教育工作。出台了《湖南艺术职业学院家庭经济困难学生认定工作实施办法》，进一步做好家庭经济困难学生认定工作，全面推进精准资助。</w:t>
      </w:r>
    </w:p>
    <w:p>
      <w:pPr>
        <w:pStyle w:val="3"/>
      </w:pPr>
      <w:bookmarkStart w:id="6" w:name="_Toc32191"/>
      <w:r>
        <w:rPr>
          <w:rFonts w:hint="eastAsia"/>
        </w:rPr>
        <w:t>1</w:t>
      </w:r>
      <w:r>
        <w:t>.2</w:t>
      </w:r>
      <w:r>
        <w:rPr>
          <w:rFonts w:hint="eastAsia"/>
        </w:rPr>
        <w:t>就业质量</w:t>
      </w:r>
      <w:bookmarkEnd w:id="6"/>
    </w:p>
    <w:p>
      <w:pPr>
        <w:pStyle w:val="4"/>
        <w:rPr>
          <w:b w:val="0"/>
          <w:bCs w:val="0"/>
        </w:rPr>
      </w:pPr>
      <w:bookmarkStart w:id="7" w:name="_Toc27836"/>
      <w:r>
        <w:rPr>
          <w:rFonts w:hint="eastAsia"/>
          <w:b w:val="0"/>
          <w:bCs w:val="0"/>
        </w:rPr>
        <w:t>1</w:t>
      </w:r>
      <w:r>
        <w:rPr>
          <w:b w:val="0"/>
          <w:bCs w:val="0"/>
        </w:rPr>
        <w:t>.2.1</w:t>
      </w:r>
      <w:r>
        <w:rPr>
          <w:rFonts w:hint="eastAsia"/>
          <w:b w:val="0"/>
          <w:bCs w:val="0"/>
        </w:rPr>
        <w:t>就业率</w:t>
      </w:r>
      <w:bookmarkEnd w:id="7"/>
    </w:p>
    <w:p>
      <w:pPr>
        <w:autoSpaceDE w:val="0"/>
        <w:autoSpaceDN w:val="0"/>
        <w:spacing w:before="190"/>
        <w:ind w:left="936" w:firstLine="640" w:firstLineChars="200"/>
        <w:jc w:val="left"/>
        <w:rPr>
          <w:rFonts w:ascii="仿宋" w:hAnsi="仿宋"/>
          <w:szCs w:val="32"/>
        </w:rPr>
      </w:pPr>
      <w:r>
        <w:rPr>
          <w:rFonts w:hint="eastAsia" w:ascii="仿宋" w:hAnsi="仿宋"/>
          <w:szCs w:val="32"/>
        </w:rPr>
        <w:t>湖南艺术职业学院全面落实党中央、国务院和教育部关于“稳就业”工作的决策部署，不断提高政治站位，进一步增强使命感、责任感、紧迫感，准确把握当前高校毕</w:t>
      </w:r>
      <w:r>
        <w:rPr>
          <w:rFonts w:ascii="仿宋" w:hAnsi="仿宋"/>
          <w:szCs w:val="32"/>
        </w:rPr>
        <w:t>业生就业面临的严峻形势，充分认识促进高校毕业生就业是当前的重大政治任务，将毕业生就业创业工作放在更加突出的位置。</w:t>
      </w:r>
      <w:r>
        <w:rPr>
          <w:rFonts w:hint="eastAsia" w:ascii="仿宋" w:hAnsi="仿宋"/>
          <w:szCs w:val="32"/>
        </w:rPr>
        <w:t>调查显示，学校</w:t>
      </w:r>
      <w:r>
        <w:rPr>
          <w:rFonts w:ascii="仿宋" w:hAnsi="仿宋"/>
          <w:szCs w:val="32"/>
        </w:rPr>
        <w:t>2021届毕业生共1779人，均为专科毕业生，截至2021年8月31日，已就业1595人，</w:t>
      </w:r>
      <w:r>
        <w:rPr>
          <w:rFonts w:hint="eastAsia" w:ascii="仿宋" w:hAnsi="仿宋"/>
          <w:szCs w:val="32"/>
        </w:rPr>
        <w:t>初次</w:t>
      </w:r>
      <w:r>
        <w:rPr>
          <w:rFonts w:ascii="仿宋" w:hAnsi="仿宋"/>
          <w:szCs w:val="32"/>
        </w:rPr>
        <w:t>就业率为89.66%。</w:t>
      </w:r>
    </w:p>
    <w:p>
      <w:pPr>
        <w:autoSpaceDE w:val="0"/>
        <w:autoSpaceDN w:val="0"/>
        <w:spacing w:before="190"/>
        <w:jc w:val="left"/>
        <w:rPr>
          <w:rFonts w:hint="eastAsia" w:ascii="仿宋" w:hAnsi="仿宋" w:eastAsia="仿宋"/>
          <w:szCs w:val="32"/>
          <w:lang w:eastAsia="zh-CN"/>
        </w:rPr>
      </w:pPr>
      <w:r>
        <w:rPr>
          <w:rFonts w:hint="eastAsia" w:ascii="仿宋" w:hAnsi="仿宋" w:eastAsia="仿宋"/>
          <w:szCs w:val="32"/>
          <w:lang w:eastAsia="zh-CN"/>
        </w:rPr>
        <w:drawing>
          <wp:inline distT="0" distB="0" distL="114300" distR="114300">
            <wp:extent cx="5269230" cy="2943225"/>
            <wp:effectExtent l="0" t="0" r="7620" b="9525"/>
            <wp:docPr id="4" name="图片 4" descr="1641432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1432894(1)"/>
                    <pic:cNvPicPr>
                      <a:picLocks noChangeAspect="1"/>
                    </pic:cNvPicPr>
                  </pic:nvPicPr>
                  <pic:blipFill>
                    <a:blip r:embed="rId9"/>
                    <a:stretch>
                      <a:fillRect/>
                    </a:stretch>
                  </pic:blipFill>
                  <pic:spPr>
                    <a:xfrm>
                      <a:off x="0" y="0"/>
                      <a:ext cx="5269230" cy="2943225"/>
                    </a:xfrm>
                    <a:prstGeom prst="rect">
                      <a:avLst/>
                    </a:prstGeom>
                  </pic:spPr>
                </pic:pic>
              </a:graphicData>
            </a:graphic>
          </wp:inline>
        </w:drawing>
      </w:r>
    </w:p>
    <w:p>
      <w:pPr>
        <w:autoSpaceDE w:val="0"/>
        <w:autoSpaceDN w:val="0"/>
        <w:spacing w:before="190"/>
        <w:ind w:firstLine="280" w:firstLineChars="100"/>
        <w:jc w:val="center"/>
        <w:rPr>
          <w:rFonts w:hint="eastAsia" w:ascii="楷体" w:hAnsi="楷体" w:eastAsia="楷体"/>
          <w:sz w:val="28"/>
          <w:szCs w:val="28"/>
          <w:lang w:eastAsia="zh-CN"/>
        </w:rPr>
      </w:pPr>
      <w:r>
        <w:rPr>
          <w:rFonts w:hint="eastAsia" w:ascii="楷体" w:hAnsi="楷体" w:eastAsia="楷体"/>
          <w:sz w:val="28"/>
          <w:szCs w:val="28"/>
        </w:rPr>
        <w:t>图1</w:t>
      </w:r>
      <w:r>
        <w:rPr>
          <w:rFonts w:ascii="楷体" w:hAnsi="楷体" w:eastAsia="楷体"/>
          <w:sz w:val="28"/>
          <w:szCs w:val="28"/>
        </w:rPr>
        <w:t>-</w:t>
      </w:r>
      <w:r>
        <w:rPr>
          <w:rFonts w:hint="eastAsia" w:ascii="楷体" w:hAnsi="楷体" w:eastAsia="楷体"/>
          <w:sz w:val="28"/>
          <w:szCs w:val="28"/>
          <w:lang w:val="en-US" w:eastAsia="zh-CN"/>
        </w:rPr>
        <w:t>2</w:t>
      </w:r>
      <w:r>
        <w:rPr>
          <w:rFonts w:ascii="楷体" w:hAnsi="楷体" w:eastAsia="楷体"/>
          <w:sz w:val="28"/>
          <w:szCs w:val="28"/>
        </w:rPr>
        <w:t xml:space="preserve"> </w:t>
      </w:r>
      <w:r>
        <w:rPr>
          <w:rFonts w:hint="eastAsia" w:ascii="楷体" w:hAnsi="楷体" w:eastAsia="楷体"/>
          <w:sz w:val="28"/>
          <w:szCs w:val="28"/>
          <w:lang w:eastAsia="zh-CN"/>
        </w:rPr>
        <w:t>毕业生初次就业率</w:t>
      </w:r>
    </w:p>
    <w:p>
      <w:pPr>
        <w:jc w:val="right"/>
        <w:rPr>
          <w:rFonts w:hint="eastAsia" w:ascii="楷体" w:hAnsi="楷体" w:eastAsia="楷体"/>
          <w:sz w:val="28"/>
          <w:szCs w:val="28"/>
          <w:lang w:eastAsia="zh-CN"/>
        </w:rPr>
      </w:pPr>
      <w:r>
        <w:rPr>
          <w:rFonts w:hint="eastAsia" w:ascii="楷体" w:hAnsi="楷体" w:eastAsia="楷体"/>
          <w:sz w:val="24"/>
          <w:szCs w:val="24"/>
        </w:rPr>
        <w:t>数据来源：2021届毕业生就业质量年度报告</w:t>
      </w:r>
    </w:p>
    <w:p>
      <w:pPr>
        <w:pStyle w:val="4"/>
        <w:rPr>
          <w:b w:val="0"/>
          <w:bCs w:val="0"/>
        </w:rPr>
      </w:pPr>
      <w:bookmarkStart w:id="8" w:name="_Toc4348"/>
      <w:r>
        <w:rPr>
          <w:rFonts w:hint="eastAsia"/>
          <w:b w:val="0"/>
          <w:bCs w:val="0"/>
        </w:rPr>
        <w:t>1.</w:t>
      </w:r>
      <w:r>
        <w:rPr>
          <w:b w:val="0"/>
          <w:bCs w:val="0"/>
        </w:rPr>
        <w:t>2.2</w:t>
      </w:r>
      <w:r>
        <w:rPr>
          <w:rFonts w:hint="eastAsia"/>
          <w:b w:val="0"/>
          <w:bCs w:val="0"/>
        </w:rPr>
        <w:t>专业相关度</w:t>
      </w:r>
      <w:bookmarkEnd w:id="8"/>
    </w:p>
    <w:p>
      <w:pPr>
        <w:autoSpaceDE w:val="0"/>
        <w:autoSpaceDN w:val="0"/>
        <w:spacing w:before="190"/>
        <w:ind w:left="936" w:firstLine="640" w:firstLineChars="200"/>
        <w:jc w:val="left"/>
        <w:rPr>
          <w:rFonts w:hint="eastAsia" w:ascii="仿宋" w:hAnsi="仿宋"/>
          <w:szCs w:val="32"/>
        </w:rPr>
      </w:pPr>
      <w:r>
        <w:rPr>
          <w:rFonts w:hint="eastAsia" w:ascii="仿宋" w:hAnsi="仿宋"/>
          <w:szCs w:val="32"/>
        </w:rPr>
        <w:t>根据调研显示，在学院</w:t>
      </w:r>
      <w:r>
        <w:rPr>
          <w:rFonts w:ascii="仿宋" w:hAnsi="仿宋"/>
          <w:szCs w:val="32"/>
        </w:rPr>
        <w:t>2021</w:t>
      </w:r>
      <w:r>
        <w:rPr>
          <w:rFonts w:hint="eastAsia" w:ascii="仿宋" w:hAnsi="仿宋"/>
          <w:szCs w:val="32"/>
        </w:rPr>
        <w:t>届毕业生就业专业相关度中，舞蹈系毕业生专业就业相关度最高，为</w:t>
      </w:r>
      <w:r>
        <w:rPr>
          <w:rFonts w:ascii="仿宋" w:hAnsi="仿宋"/>
          <w:szCs w:val="32"/>
        </w:rPr>
        <w:t>94.44%；</w:t>
      </w:r>
      <w:r>
        <w:rPr>
          <w:rFonts w:hint="eastAsia" w:ascii="仿宋" w:hAnsi="仿宋"/>
          <w:szCs w:val="32"/>
        </w:rPr>
        <w:t>其次是</w:t>
      </w:r>
      <w:r>
        <w:rPr>
          <w:rFonts w:ascii="仿宋" w:hAnsi="仿宋"/>
          <w:szCs w:val="32"/>
        </w:rPr>
        <w:t>影视系</w:t>
      </w:r>
      <w:r>
        <w:rPr>
          <w:rFonts w:hint="eastAsia" w:ascii="仿宋" w:hAnsi="仿宋"/>
          <w:szCs w:val="32"/>
        </w:rPr>
        <w:t>，</w:t>
      </w:r>
      <w:r>
        <w:rPr>
          <w:rFonts w:ascii="仿宋" w:hAnsi="仿宋"/>
          <w:szCs w:val="32"/>
        </w:rPr>
        <w:t>为75.79%；</w:t>
      </w:r>
      <w:r>
        <w:rPr>
          <w:rFonts w:hint="eastAsia" w:ascii="仿宋" w:hAnsi="仿宋"/>
          <w:szCs w:val="32"/>
        </w:rPr>
        <w:t>第三是</w:t>
      </w:r>
      <w:r>
        <w:rPr>
          <w:rFonts w:ascii="仿宋" w:hAnsi="仿宋"/>
          <w:szCs w:val="32"/>
        </w:rPr>
        <w:t>音乐系</w:t>
      </w:r>
      <w:r>
        <w:rPr>
          <w:rFonts w:hint="eastAsia" w:ascii="仿宋" w:hAnsi="仿宋"/>
          <w:szCs w:val="32"/>
        </w:rPr>
        <w:t>，</w:t>
      </w:r>
      <w:r>
        <w:rPr>
          <w:rFonts w:ascii="仿宋" w:hAnsi="仿宋"/>
          <w:szCs w:val="32"/>
        </w:rPr>
        <w:t>为61.22%</w:t>
      </w:r>
      <w:r>
        <w:rPr>
          <w:rFonts w:hint="eastAsia" w:ascii="仿宋" w:hAnsi="仿宋"/>
          <w:szCs w:val="32"/>
        </w:rPr>
        <w:t>。</w:t>
      </w:r>
    </w:p>
    <w:p>
      <w:pPr>
        <w:autoSpaceDE w:val="0"/>
        <w:autoSpaceDN w:val="0"/>
        <w:spacing w:before="190"/>
        <w:ind w:firstLine="843" w:firstLineChars="300"/>
        <w:jc w:val="center"/>
        <w:rPr>
          <w:rFonts w:hint="eastAsia" w:ascii="楷体" w:hAnsi="楷体" w:eastAsia="楷体"/>
          <w:b/>
          <w:bCs/>
          <w:sz w:val="28"/>
          <w:szCs w:val="28"/>
        </w:rPr>
      </w:pPr>
      <w:r>
        <w:rPr>
          <w:rFonts w:hint="eastAsia" w:ascii="楷体" w:hAnsi="楷体" w:eastAsia="楷体"/>
          <w:b/>
          <w:bCs/>
          <w:sz w:val="28"/>
          <w:szCs w:val="28"/>
        </w:rPr>
        <w:t>表</w:t>
      </w:r>
      <w:r>
        <w:rPr>
          <w:rFonts w:hint="eastAsia" w:ascii="楷体" w:hAnsi="楷体" w:eastAsia="楷体"/>
          <w:b/>
          <w:bCs/>
          <w:sz w:val="28"/>
          <w:szCs w:val="28"/>
          <w:lang w:val="en-US" w:eastAsia="zh-CN"/>
        </w:rPr>
        <w:t>1</w:t>
      </w:r>
      <w:r>
        <w:rPr>
          <w:rFonts w:hint="eastAsia" w:ascii="楷体" w:hAnsi="楷体" w:eastAsia="楷体"/>
          <w:b/>
          <w:bCs/>
          <w:sz w:val="28"/>
          <w:szCs w:val="28"/>
        </w:rPr>
        <w:t>-1 2021届各系毕业生专业对口度情况分布</w:t>
      </w:r>
    </w:p>
    <w:p>
      <w:pPr>
        <w:autoSpaceDE w:val="0"/>
        <w:autoSpaceDN w:val="0"/>
        <w:spacing w:before="190"/>
        <w:jc w:val="right"/>
        <w:rPr>
          <w:rFonts w:hint="eastAsia" w:ascii="仿宋" w:hAnsi="仿宋" w:eastAsia="仿宋"/>
          <w:szCs w:val="32"/>
          <w:lang w:eastAsia="zh-CN"/>
        </w:rPr>
      </w:pPr>
      <w:bookmarkStart w:id="94" w:name="_GoBack"/>
      <w:r>
        <w:rPr>
          <w:rFonts w:hint="eastAsia" w:ascii="仿宋" w:hAnsi="仿宋" w:eastAsia="仿宋"/>
          <w:szCs w:val="32"/>
          <w:lang w:eastAsia="zh-CN"/>
        </w:rPr>
        <w:drawing>
          <wp:inline distT="0" distB="0" distL="114300" distR="114300">
            <wp:extent cx="4729480" cy="1400175"/>
            <wp:effectExtent l="0" t="0" r="13970" b="9525"/>
            <wp:docPr id="6" name="图片 6" descr="1641433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1433377(1)"/>
                    <pic:cNvPicPr>
                      <a:picLocks noChangeAspect="1"/>
                    </pic:cNvPicPr>
                  </pic:nvPicPr>
                  <pic:blipFill>
                    <a:blip r:embed="rId10"/>
                    <a:stretch>
                      <a:fillRect/>
                    </a:stretch>
                  </pic:blipFill>
                  <pic:spPr>
                    <a:xfrm>
                      <a:off x="0" y="0"/>
                      <a:ext cx="4729480" cy="1400175"/>
                    </a:xfrm>
                    <a:prstGeom prst="rect">
                      <a:avLst/>
                    </a:prstGeom>
                  </pic:spPr>
                </pic:pic>
              </a:graphicData>
            </a:graphic>
          </wp:inline>
        </w:drawing>
      </w:r>
      <w:bookmarkEnd w:id="94"/>
    </w:p>
    <w:p>
      <w:pPr>
        <w:jc w:val="right"/>
        <w:rPr>
          <w:rFonts w:hint="eastAsia" w:ascii="仿宋" w:hAnsi="仿宋"/>
          <w:szCs w:val="32"/>
        </w:rPr>
      </w:pPr>
      <w:r>
        <w:rPr>
          <w:rFonts w:hint="eastAsia" w:ascii="楷体" w:hAnsi="楷体" w:eastAsia="楷体"/>
          <w:sz w:val="24"/>
          <w:szCs w:val="24"/>
        </w:rPr>
        <w:t>数据来源：2021届毕业生就业质量年度报告</w:t>
      </w:r>
    </w:p>
    <w:p>
      <w:pPr>
        <w:autoSpaceDE w:val="0"/>
        <w:autoSpaceDN w:val="0"/>
        <w:spacing w:before="190"/>
        <w:ind w:left="936" w:firstLine="640" w:firstLineChars="200"/>
        <w:jc w:val="left"/>
        <w:rPr>
          <w:rFonts w:ascii="仿宋" w:hAnsi="仿宋"/>
          <w:szCs w:val="32"/>
        </w:rPr>
      </w:pPr>
      <w:r>
        <w:rPr>
          <w:rFonts w:hint="eastAsia" w:ascii="仿宋" w:hAnsi="仿宋"/>
          <w:szCs w:val="32"/>
        </w:rPr>
        <w:t>学院</w:t>
      </w:r>
      <w:r>
        <w:rPr>
          <w:rFonts w:ascii="仿宋" w:hAnsi="仿宋"/>
          <w:szCs w:val="32"/>
        </w:rPr>
        <w:t>2021届毕业生工作与专业相关度为65</w:t>
      </w:r>
      <w:r>
        <w:rPr>
          <w:rFonts w:hint="eastAsia" w:ascii="仿宋" w:hAnsi="仿宋"/>
          <w:szCs w:val="32"/>
        </w:rPr>
        <w:t>.3</w:t>
      </w:r>
      <w:r>
        <w:rPr>
          <w:rFonts w:ascii="仿宋" w:hAnsi="仿宋"/>
          <w:szCs w:val="32"/>
        </w:rPr>
        <w:t>2%</w:t>
      </w:r>
      <w:r>
        <w:rPr>
          <w:rFonts w:hint="eastAsia" w:ascii="仿宋" w:hAnsi="仿宋"/>
          <w:szCs w:val="32"/>
        </w:rPr>
        <w:t>，相较于2</w:t>
      </w:r>
      <w:r>
        <w:rPr>
          <w:rFonts w:ascii="仿宋" w:hAnsi="仿宋"/>
          <w:szCs w:val="32"/>
        </w:rPr>
        <w:t>020</w:t>
      </w:r>
      <w:r>
        <w:rPr>
          <w:rFonts w:hint="eastAsia" w:ascii="仿宋" w:hAnsi="仿宋"/>
          <w:szCs w:val="32"/>
        </w:rPr>
        <w:t>届毕业生工作专业相关度</w:t>
      </w:r>
      <w:r>
        <w:rPr>
          <w:rFonts w:ascii="仿宋" w:hAnsi="仿宋"/>
          <w:szCs w:val="32"/>
        </w:rPr>
        <w:t>68.70%，</w:t>
      </w:r>
      <w:r>
        <w:rPr>
          <w:rFonts w:hint="eastAsia" w:ascii="仿宋" w:hAnsi="仿宋"/>
          <w:szCs w:val="32"/>
        </w:rPr>
        <w:t>略有下降。毕业生工作专业相关度</w:t>
      </w:r>
      <w:r>
        <w:rPr>
          <w:rFonts w:ascii="仿宋" w:hAnsi="仿宋"/>
          <w:szCs w:val="32"/>
        </w:rPr>
        <w:t>尚存在较大的提升空间。</w:t>
      </w:r>
    </w:p>
    <w:p>
      <w:pPr>
        <w:autoSpaceDE w:val="0"/>
        <w:autoSpaceDN w:val="0"/>
        <w:spacing w:before="190"/>
        <w:jc w:val="center"/>
        <w:rPr>
          <w:rFonts w:hint="eastAsia" w:ascii="仿宋" w:hAnsi="仿宋" w:eastAsia="仿宋"/>
          <w:szCs w:val="32"/>
          <w:lang w:eastAsia="zh-CN"/>
        </w:rPr>
      </w:pPr>
      <w:r>
        <w:rPr>
          <w:rFonts w:hint="eastAsia" w:ascii="仿宋" w:hAnsi="仿宋" w:eastAsia="仿宋"/>
          <w:szCs w:val="32"/>
          <w:lang w:eastAsia="zh-CN"/>
        </w:rPr>
        <w:drawing>
          <wp:inline distT="0" distB="0" distL="114300" distR="114300">
            <wp:extent cx="4505325" cy="1819275"/>
            <wp:effectExtent l="0" t="0" r="9525" b="9525"/>
            <wp:docPr id="10" name="图片 10" descr="1641433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1433601(1)"/>
                    <pic:cNvPicPr>
                      <a:picLocks noChangeAspect="1"/>
                    </pic:cNvPicPr>
                  </pic:nvPicPr>
                  <pic:blipFill>
                    <a:blip r:embed="rId11"/>
                    <a:stretch>
                      <a:fillRect/>
                    </a:stretch>
                  </pic:blipFill>
                  <pic:spPr>
                    <a:xfrm>
                      <a:off x="0" y="0"/>
                      <a:ext cx="4505325" cy="1819275"/>
                    </a:xfrm>
                    <a:prstGeom prst="rect">
                      <a:avLst/>
                    </a:prstGeom>
                  </pic:spPr>
                </pic:pic>
              </a:graphicData>
            </a:graphic>
          </wp:inline>
        </w:drawing>
      </w:r>
    </w:p>
    <w:p>
      <w:pPr>
        <w:autoSpaceDE w:val="0"/>
        <w:autoSpaceDN w:val="0"/>
        <w:spacing w:before="190"/>
        <w:ind w:firstLine="280" w:firstLineChars="100"/>
        <w:jc w:val="center"/>
        <w:rPr>
          <w:rFonts w:hint="eastAsia" w:ascii="楷体" w:hAnsi="楷体" w:eastAsia="楷体"/>
          <w:sz w:val="28"/>
          <w:szCs w:val="28"/>
          <w:lang w:eastAsia="zh-CN"/>
        </w:rPr>
      </w:pPr>
      <w:r>
        <w:rPr>
          <w:rFonts w:hint="eastAsia" w:ascii="楷体" w:hAnsi="楷体" w:eastAsia="楷体"/>
          <w:sz w:val="28"/>
          <w:szCs w:val="28"/>
        </w:rPr>
        <w:t>图1</w:t>
      </w:r>
      <w:r>
        <w:rPr>
          <w:rFonts w:ascii="楷体" w:hAnsi="楷体" w:eastAsia="楷体"/>
          <w:sz w:val="28"/>
          <w:szCs w:val="28"/>
        </w:rPr>
        <w:t>-</w:t>
      </w:r>
      <w:r>
        <w:rPr>
          <w:rFonts w:hint="eastAsia" w:ascii="楷体" w:hAnsi="楷体" w:eastAsia="楷体"/>
          <w:sz w:val="28"/>
          <w:szCs w:val="28"/>
          <w:lang w:val="en-US" w:eastAsia="zh-CN"/>
        </w:rPr>
        <w:t>3</w:t>
      </w:r>
      <w:r>
        <w:rPr>
          <w:rFonts w:ascii="楷体" w:hAnsi="楷体" w:eastAsia="楷体"/>
          <w:sz w:val="28"/>
          <w:szCs w:val="28"/>
        </w:rPr>
        <w:t xml:space="preserve"> </w:t>
      </w:r>
      <w:r>
        <w:rPr>
          <w:rFonts w:hint="eastAsia" w:ascii="楷体" w:hAnsi="楷体" w:eastAsia="楷体"/>
          <w:sz w:val="28"/>
          <w:szCs w:val="28"/>
          <w:lang w:eastAsia="zh-CN"/>
        </w:rPr>
        <w:t>2021 届毕业生专业对口度</w:t>
      </w:r>
    </w:p>
    <w:p>
      <w:pPr>
        <w:jc w:val="right"/>
        <w:rPr>
          <w:rFonts w:hint="eastAsia" w:ascii="楷体" w:hAnsi="楷体" w:eastAsia="楷体"/>
          <w:sz w:val="28"/>
          <w:szCs w:val="28"/>
          <w:lang w:eastAsia="zh-CN"/>
        </w:rPr>
      </w:pPr>
      <w:r>
        <w:rPr>
          <w:rFonts w:hint="eastAsia" w:ascii="楷体" w:hAnsi="楷体" w:eastAsia="楷体"/>
          <w:sz w:val="24"/>
          <w:szCs w:val="24"/>
        </w:rPr>
        <w:t>数据来源：2021届毕业生就业质量年度报告</w:t>
      </w:r>
    </w:p>
    <w:p>
      <w:pPr>
        <w:pStyle w:val="4"/>
        <w:rPr>
          <w:b w:val="0"/>
          <w:bCs w:val="0"/>
        </w:rPr>
      </w:pPr>
      <w:bookmarkStart w:id="9" w:name="_Toc21124"/>
      <w:r>
        <w:rPr>
          <w:rFonts w:hint="eastAsia"/>
          <w:b w:val="0"/>
          <w:bCs w:val="0"/>
        </w:rPr>
        <w:t>1</w:t>
      </w:r>
      <w:r>
        <w:rPr>
          <w:b w:val="0"/>
          <w:bCs w:val="0"/>
        </w:rPr>
        <w:t>.2.3</w:t>
      </w:r>
      <w:r>
        <w:rPr>
          <w:rFonts w:hint="eastAsia"/>
          <w:b w:val="0"/>
          <w:bCs w:val="0"/>
        </w:rPr>
        <w:t>就业起薪点</w:t>
      </w:r>
      <w:bookmarkEnd w:id="9"/>
    </w:p>
    <w:p>
      <w:pPr>
        <w:autoSpaceDE w:val="0"/>
        <w:autoSpaceDN w:val="0"/>
        <w:spacing w:before="190"/>
        <w:ind w:left="936" w:firstLine="640" w:firstLineChars="200"/>
        <w:jc w:val="left"/>
        <w:rPr>
          <w:rFonts w:ascii="仿宋" w:hAnsi="仿宋"/>
          <w:szCs w:val="32"/>
        </w:rPr>
      </w:pPr>
      <w:r>
        <w:rPr>
          <w:rFonts w:ascii="仿宋" w:hAnsi="仿宋"/>
          <w:szCs w:val="32"/>
        </w:rPr>
        <w:t>2021届毕业生总体月平均薪资为3844.92元。薪资满意度为73.65%。各专业中，</w:t>
      </w:r>
      <w:r>
        <w:rPr>
          <w:rFonts w:hint="eastAsia" w:ascii="仿宋" w:hAnsi="仿宋"/>
          <w:szCs w:val="32"/>
        </w:rPr>
        <w:t>舞蹈表演</w:t>
      </w:r>
      <w:r>
        <w:rPr>
          <w:rFonts w:ascii="仿宋" w:hAnsi="仿宋"/>
          <w:szCs w:val="32"/>
        </w:rPr>
        <w:t>专业月平均薪资最高，为5845.95元。薪资满意度最高的为</w:t>
      </w:r>
      <w:r>
        <w:rPr>
          <w:rFonts w:hint="eastAsia" w:ascii="仿宋" w:hAnsi="仿宋"/>
          <w:szCs w:val="32"/>
        </w:rPr>
        <w:t>音乐表演</w:t>
      </w:r>
      <w:r>
        <w:rPr>
          <w:rFonts w:ascii="仿宋" w:hAnsi="仿宋"/>
          <w:w w:val="96"/>
          <w:szCs w:val="32"/>
        </w:rPr>
        <w:t>专业，薪资满意度为78.57%，月平均薪资为4978.57元。</w:t>
      </w:r>
    </w:p>
    <w:p>
      <w:pPr>
        <w:pStyle w:val="4"/>
        <w:rPr>
          <w:b w:val="0"/>
          <w:bCs w:val="0"/>
        </w:rPr>
      </w:pPr>
      <w:bookmarkStart w:id="10" w:name="_Toc15683"/>
      <w:r>
        <w:rPr>
          <w:rFonts w:hint="eastAsia"/>
          <w:b w:val="0"/>
          <w:bCs w:val="0"/>
        </w:rPr>
        <w:t>1</w:t>
      </w:r>
      <w:r>
        <w:rPr>
          <w:b w:val="0"/>
          <w:bCs w:val="0"/>
        </w:rPr>
        <w:t>.2.4</w:t>
      </w:r>
      <w:r>
        <w:rPr>
          <w:rFonts w:hint="eastAsia"/>
          <w:b w:val="0"/>
          <w:bCs w:val="0"/>
        </w:rPr>
        <w:t>就业满意度</w:t>
      </w:r>
      <w:bookmarkEnd w:id="10"/>
    </w:p>
    <w:p>
      <w:pPr>
        <w:autoSpaceDE w:val="0"/>
        <w:autoSpaceDN w:val="0"/>
        <w:spacing w:before="190"/>
        <w:ind w:left="936" w:firstLine="640" w:firstLineChars="200"/>
        <w:jc w:val="left"/>
        <w:rPr>
          <w:rFonts w:hint="eastAsia"/>
          <w:lang w:val="en-US" w:eastAsia="zh-CN"/>
        </w:rPr>
      </w:pPr>
      <w:r>
        <w:rPr>
          <w:rFonts w:ascii="仿宋" w:hAnsi="仿宋"/>
          <w:szCs w:val="32"/>
        </w:rPr>
        <w:t>2021届毕业生对用人单位</w:t>
      </w:r>
      <w:r>
        <w:rPr>
          <w:rFonts w:hint="eastAsia" w:ascii="仿宋" w:hAnsi="仿宋"/>
          <w:szCs w:val="32"/>
        </w:rPr>
        <w:t>的工作内容满意度为</w:t>
      </w:r>
      <w:r>
        <w:rPr>
          <w:rFonts w:ascii="仿宋" w:hAnsi="仿宋"/>
          <w:szCs w:val="32"/>
        </w:rPr>
        <w:t>88.59%；对薪酬满意度为73.65%；对职业前景满意度为84.98%</w:t>
      </w:r>
      <w:r>
        <w:rPr>
          <w:rFonts w:hint="eastAsia" w:ascii="仿宋" w:hAnsi="仿宋"/>
          <w:szCs w:val="32"/>
          <w:lang w:eastAsia="zh-CN"/>
        </w:rPr>
        <w:t>，可见毕业生对初入职场的岗位和工作内容等方面均比较认同。</w:t>
      </w:r>
      <w:r>
        <w:rPr>
          <w:rFonts w:hint="eastAsia"/>
          <w:lang w:val="en-US" w:eastAsia="zh-CN"/>
        </w:rPr>
        <w:t xml:space="preserve">    </w:t>
      </w:r>
    </w:p>
    <w:p>
      <w:pPr>
        <w:bidi w:val="0"/>
        <w:jc w:val="right"/>
        <w:rPr>
          <w:rFonts w:hint="eastAsia"/>
          <w:lang w:val="en-US" w:eastAsia="zh-CN"/>
        </w:rPr>
      </w:pPr>
      <w:r>
        <w:drawing>
          <wp:inline distT="0" distB="0" distL="114300" distR="114300">
            <wp:extent cx="4507230" cy="1299845"/>
            <wp:effectExtent l="0" t="0" r="762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4507230" cy="1299845"/>
                    </a:xfrm>
                    <a:prstGeom prst="rect">
                      <a:avLst/>
                    </a:prstGeom>
                    <a:noFill/>
                    <a:ln>
                      <a:noFill/>
                    </a:ln>
                  </pic:spPr>
                </pic:pic>
              </a:graphicData>
            </a:graphic>
          </wp:inline>
        </w:drawing>
      </w:r>
    </w:p>
    <w:p>
      <w:pPr>
        <w:autoSpaceDE w:val="0"/>
        <w:autoSpaceDN w:val="0"/>
        <w:spacing w:before="190"/>
        <w:ind w:firstLine="280" w:firstLineChars="100"/>
        <w:jc w:val="center"/>
        <w:rPr>
          <w:rFonts w:hint="eastAsia" w:ascii="楷体" w:hAnsi="楷体" w:eastAsia="楷体"/>
          <w:sz w:val="28"/>
          <w:szCs w:val="28"/>
          <w:lang w:eastAsia="zh-CN"/>
        </w:rPr>
      </w:pPr>
      <w:r>
        <w:rPr>
          <w:rFonts w:hint="eastAsia" w:ascii="楷体" w:hAnsi="楷体" w:eastAsia="楷体"/>
          <w:sz w:val="28"/>
          <w:szCs w:val="28"/>
        </w:rPr>
        <w:t>图1</w:t>
      </w:r>
      <w:r>
        <w:rPr>
          <w:rFonts w:ascii="楷体" w:hAnsi="楷体" w:eastAsia="楷体"/>
          <w:sz w:val="28"/>
          <w:szCs w:val="28"/>
        </w:rPr>
        <w:t>-</w:t>
      </w:r>
      <w:r>
        <w:rPr>
          <w:rFonts w:hint="eastAsia" w:ascii="楷体" w:hAnsi="楷体" w:eastAsia="楷体"/>
          <w:sz w:val="28"/>
          <w:szCs w:val="28"/>
          <w:lang w:val="en-US" w:eastAsia="zh-CN"/>
        </w:rPr>
        <w:t>4</w:t>
      </w:r>
      <w:r>
        <w:rPr>
          <w:rFonts w:ascii="楷体" w:hAnsi="楷体" w:eastAsia="楷体"/>
          <w:sz w:val="28"/>
          <w:szCs w:val="28"/>
        </w:rPr>
        <w:t xml:space="preserve"> </w:t>
      </w:r>
      <w:r>
        <w:rPr>
          <w:rFonts w:hint="eastAsia" w:ascii="楷体" w:hAnsi="楷体" w:eastAsia="楷体"/>
          <w:sz w:val="28"/>
          <w:szCs w:val="28"/>
          <w:lang w:val="en-US" w:eastAsia="zh-CN"/>
        </w:rPr>
        <w:t xml:space="preserve"> </w:t>
      </w:r>
      <w:r>
        <w:rPr>
          <w:rFonts w:hint="eastAsia" w:ascii="楷体" w:hAnsi="楷体" w:eastAsia="楷体"/>
          <w:sz w:val="28"/>
          <w:szCs w:val="28"/>
          <w:lang w:eastAsia="zh-CN"/>
        </w:rPr>
        <w:t>2021届毕业生对工作满意度</w:t>
      </w:r>
    </w:p>
    <w:p>
      <w:pPr>
        <w:jc w:val="right"/>
        <w:rPr>
          <w:rFonts w:hint="eastAsia" w:ascii="仿宋" w:hAnsi="仿宋"/>
          <w:szCs w:val="32"/>
        </w:rPr>
      </w:pPr>
      <w:r>
        <w:rPr>
          <w:rFonts w:hint="eastAsia" w:ascii="楷体" w:hAnsi="楷体" w:eastAsia="楷体"/>
          <w:sz w:val="24"/>
          <w:szCs w:val="24"/>
        </w:rPr>
        <w:t>数据来源：2021届毕业生就业质量年度报告</w:t>
      </w:r>
    </w:p>
    <w:p>
      <w:pPr>
        <w:pStyle w:val="3"/>
      </w:pPr>
      <w:bookmarkStart w:id="11" w:name="_Toc115"/>
      <w:r>
        <w:rPr>
          <w:rFonts w:hint="eastAsia"/>
        </w:rPr>
        <w:t>1</w:t>
      </w:r>
      <w:r>
        <w:t>.3</w:t>
      </w:r>
      <w:r>
        <w:rPr>
          <w:rFonts w:hint="eastAsia"/>
        </w:rPr>
        <w:t>成长成才</w:t>
      </w:r>
      <w:bookmarkEnd w:id="11"/>
    </w:p>
    <w:p>
      <w:pPr>
        <w:pStyle w:val="4"/>
        <w:rPr>
          <w:b w:val="0"/>
          <w:bCs w:val="0"/>
          <w:color w:val="000000" w:themeColor="text1"/>
          <w14:textFill>
            <w14:solidFill>
              <w14:schemeClr w14:val="tx1"/>
            </w14:solidFill>
          </w14:textFill>
        </w:rPr>
      </w:pPr>
      <w:bookmarkStart w:id="12" w:name="_Toc14407"/>
      <w:r>
        <w:rPr>
          <w:rFonts w:hint="eastAsia"/>
          <w:b w:val="0"/>
          <w:bCs w:val="0"/>
          <w:color w:val="000000" w:themeColor="text1"/>
          <w14:textFill>
            <w14:solidFill>
              <w14:schemeClr w14:val="tx1"/>
            </w14:solidFill>
          </w14:textFill>
        </w:rPr>
        <w:t>1</w:t>
      </w:r>
      <w:r>
        <w:rPr>
          <w:b w:val="0"/>
          <w:bCs w:val="0"/>
          <w:color w:val="000000" w:themeColor="text1"/>
          <w14:textFill>
            <w14:solidFill>
              <w14:schemeClr w14:val="tx1"/>
            </w14:solidFill>
          </w14:textFill>
        </w:rPr>
        <w:t>.3.1</w:t>
      </w:r>
      <w:r>
        <w:rPr>
          <w:rFonts w:hint="eastAsia"/>
          <w:b w:val="0"/>
          <w:bCs w:val="0"/>
          <w:color w:val="000000" w:themeColor="text1"/>
          <w14:textFill>
            <w14:solidFill>
              <w14:schemeClr w14:val="tx1"/>
            </w14:solidFill>
          </w14:textFill>
        </w:rPr>
        <w:t>毕业生平均月收入呈上升趋势</w:t>
      </w:r>
      <w:bookmarkEnd w:id="12"/>
    </w:p>
    <w:p>
      <w:pPr>
        <w:autoSpaceDE w:val="0"/>
        <w:autoSpaceDN w:val="0"/>
        <w:spacing w:before="190"/>
        <w:ind w:left="936" w:firstLine="640" w:firstLineChars="200"/>
        <w:jc w:val="left"/>
        <w:rPr>
          <w:rFonts w:hint="eastAsia" w:ascii="仿宋" w:hAnsi="仿宋"/>
          <w:szCs w:val="32"/>
        </w:rPr>
      </w:pPr>
      <w:r>
        <w:rPr>
          <w:rFonts w:hint="eastAsia" w:ascii="仿宋" w:hAnsi="仿宋"/>
          <w:szCs w:val="32"/>
        </w:rPr>
        <w:t>根据调研，</w:t>
      </w:r>
      <w:r>
        <w:rPr>
          <w:rFonts w:ascii="仿宋" w:hAnsi="仿宋"/>
          <w:szCs w:val="32"/>
        </w:rPr>
        <w:t>2019届毕业生月平均薪资</w:t>
      </w:r>
      <w:r>
        <w:rPr>
          <w:rFonts w:hint="eastAsia" w:ascii="仿宋" w:hAnsi="仿宋"/>
          <w:szCs w:val="32"/>
        </w:rPr>
        <w:t>为</w:t>
      </w:r>
      <w:r>
        <w:rPr>
          <w:rFonts w:ascii="仿宋" w:hAnsi="仿宋"/>
          <w:szCs w:val="32"/>
        </w:rPr>
        <w:t>3650</w:t>
      </w:r>
      <w:r>
        <w:rPr>
          <w:rFonts w:hint="eastAsia" w:ascii="仿宋" w:hAnsi="仿宋"/>
          <w:szCs w:val="32"/>
        </w:rPr>
        <w:t>，2</w:t>
      </w:r>
      <w:r>
        <w:rPr>
          <w:rFonts w:ascii="仿宋" w:hAnsi="仿宋"/>
          <w:szCs w:val="32"/>
        </w:rPr>
        <w:t>020届</w:t>
      </w:r>
      <w:r>
        <w:rPr>
          <w:rFonts w:hint="eastAsia" w:ascii="仿宋" w:hAnsi="仿宋"/>
          <w:szCs w:val="32"/>
        </w:rPr>
        <w:t>毕业生月平均薪</w:t>
      </w:r>
      <w:r>
        <w:rPr>
          <w:rFonts w:ascii="仿宋" w:hAnsi="仿宋"/>
          <w:szCs w:val="32"/>
        </w:rPr>
        <w:t>3678.98</w:t>
      </w:r>
      <w:r>
        <w:rPr>
          <w:rFonts w:hint="eastAsia" w:ascii="仿宋" w:hAnsi="仿宋"/>
          <w:szCs w:val="32"/>
        </w:rPr>
        <w:t>；2</w:t>
      </w:r>
      <w:r>
        <w:rPr>
          <w:rFonts w:ascii="仿宋" w:hAnsi="仿宋"/>
          <w:szCs w:val="32"/>
        </w:rPr>
        <w:t>021</w:t>
      </w:r>
      <w:r>
        <w:rPr>
          <w:rFonts w:hint="eastAsia" w:ascii="仿宋" w:hAnsi="仿宋"/>
          <w:szCs w:val="32"/>
        </w:rPr>
        <w:t>届毕业生平均薪资为</w:t>
      </w:r>
      <w:r>
        <w:rPr>
          <w:rFonts w:ascii="仿宋" w:hAnsi="仿宋"/>
          <w:szCs w:val="32"/>
        </w:rPr>
        <w:t>3844.92。2019-2021届毕业生月平均薪资呈上升趋势</w:t>
      </w:r>
      <w:r>
        <w:rPr>
          <w:rFonts w:hint="eastAsia" w:ascii="仿宋" w:hAnsi="仿宋"/>
          <w:szCs w:val="32"/>
        </w:rPr>
        <w:t>。</w:t>
      </w:r>
    </w:p>
    <w:p>
      <w:pPr>
        <w:pStyle w:val="4"/>
        <w:rPr>
          <w:b w:val="0"/>
          <w:bCs w:val="0"/>
        </w:rPr>
      </w:pPr>
      <w:bookmarkStart w:id="13" w:name="_Toc10644"/>
      <w:r>
        <w:rPr>
          <w:rFonts w:hint="eastAsia"/>
          <w:b w:val="0"/>
          <w:bCs w:val="0"/>
        </w:rPr>
        <w:t>1</w:t>
      </w:r>
      <w:r>
        <w:rPr>
          <w:b w:val="0"/>
          <w:bCs w:val="0"/>
        </w:rPr>
        <w:t>.3.2</w:t>
      </w:r>
      <w:r>
        <w:rPr>
          <w:rFonts w:hint="eastAsia"/>
          <w:b w:val="0"/>
          <w:bCs w:val="0"/>
        </w:rPr>
        <w:t>职位晋升</w:t>
      </w:r>
      <w:bookmarkEnd w:id="13"/>
    </w:p>
    <w:p>
      <w:pPr>
        <w:autoSpaceDE w:val="0"/>
        <w:autoSpaceDN w:val="0"/>
        <w:spacing w:before="190"/>
        <w:ind w:left="936" w:firstLine="640" w:firstLineChars="200"/>
        <w:jc w:val="left"/>
        <w:rPr>
          <w:rFonts w:ascii="仿宋" w:hAnsi="仿宋"/>
          <w:szCs w:val="32"/>
        </w:rPr>
      </w:pPr>
      <w:r>
        <w:rPr>
          <w:rFonts w:hint="eastAsia" w:ascii="仿宋" w:hAnsi="仿宋"/>
          <w:szCs w:val="32"/>
        </w:rPr>
        <w:t>调研数据显示，</w:t>
      </w:r>
      <w:r>
        <w:rPr>
          <w:rFonts w:ascii="仿宋" w:hAnsi="仿宋"/>
          <w:szCs w:val="32"/>
        </w:rPr>
        <w:t>75.22%的用人单位认为毕业生能够在3年以内成长为单位中层管理人员，其中26.15%的单位认为毕业生能够在“1年以内”获得晋升，</w:t>
      </w:r>
      <w:r>
        <w:rPr>
          <w:rFonts w:ascii="仿宋" w:hAnsi="仿宋"/>
          <w:w w:val="96"/>
          <w:szCs w:val="32"/>
        </w:rPr>
        <w:t>46.76%的单位认为毕业生能够在“1-3 年”内获得晋升</w:t>
      </w:r>
      <w:r>
        <w:rPr>
          <w:rFonts w:hint="eastAsia" w:ascii="仿宋" w:hAnsi="仿宋"/>
          <w:w w:val="96"/>
          <w:szCs w:val="32"/>
        </w:rPr>
        <w:t>。</w:t>
      </w:r>
    </w:p>
    <w:p>
      <w:pPr>
        <w:pStyle w:val="4"/>
        <w:rPr>
          <w:b w:val="0"/>
          <w:bCs w:val="0"/>
        </w:rPr>
      </w:pPr>
      <w:bookmarkStart w:id="14" w:name="_Toc29826"/>
      <w:r>
        <w:rPr>
          <w:rFonts w:hint="eastAsia"/>
          <w:b w:val="0"/>
          <w:bCs w:val="0"/>
        </w:rPr>
        <w:t>1</w:t>
      </w:r>
      <w:r>
        <w:rPr>
          <w:b w:val="0"/>
          <w:bCs w:val="0"/>
        </w:rPr>
        <w:t>.3.3</w:t>
      </w:r>
      <w:r>
        <w:rPr>
          <w:rFonts w:hint="eastAsia"/>
          <w:b w:val="0"/>
          <w:bCs w:val="0"/>
        </w:rPr>
        <w:t>职业稳定性</w:t>
      </w:r>
      <w:bookmarkEnd w:id="14"/>
    </w:p>
    <w:p>
      <w:pPr>
        <w:autoSpaceDE w:val="0"/>
        <w:autoSpaceDN w:val="0"/>
        <w:spacing w:before="190"/>
        <w:ind w:left="936" w:firstLine="640" w:firstLineChars="200"/>
        <w:jc w:val="left"/>
        <w:rPr>
          <w:rFonts w:hint="eastAsia" w:ascii="仿宋" w:hAnsi="仿宋"/>
          <w:szCs w:val="32"/>
        </w:rPr>
      </w:pPr>
      <w:r>
        <w:rPr>
          <w:rFonts w:ascii="仿宋" w:hAnsi="仿宋"/>
          <w:szCs w:val="32"/>
        </w:rPr>
        <w:t>2019-2021届毕业生就业现状满意度均在80.00%以上，三年来，毕业生就业现状满意度有一定波动但变化幅度不大，就业行业</w:t>
      </w:r>
      <w:r>
        <w:rPr>
          <w:rFonts w:hint="eastAsia" w:ascii="仿宋" w:hAnsi="仿宋"/>
          <w:szCs w:val="32"/>
        </w:rPr>
        <w:t>仍旧是</w:t>
      </w:r>
      <w:r>
        <w:rPr>
          <w:rFonts w:ascii="仿宋" w:hAnsi="仿宋"/>
          <w:szCs w:val="32"/>
        </w:rPr>
        <w:t>以“文化、体育和娱乐业”、“教育”为主。2021届毕业生工作稳定度为 61.60%</w:t>
      </w:r>
      <w:r>
        <w:rPr>
          <w:rFonts w:hint="eastAsia" w:ascii="仿宋" w:hAnsi="仿宋"/>
          <w:szCs w:val="32"/>
        </w:rPr>
        <w:t>，</w:t>
      </w:r>
      <w:r>
        <w:rPr>
          <w:rFonts w:ascii="仿宋" w:hAnsi="仿宋"/>
          <w:szCs w:val="32"/>
        </w:rPr>
        <w:t>表示当前工作“比较稳定”的占比最高，为 55.26%</w:t>
      </w:r>
      <w:r>
        <w:rPr>
          <w:rFonts w:hint="eastAsia" w:ascii="仿宋" w:hAnsi="仿宋"/>
          <w:szCs w:val="32"/>
        </w:rPr>
        <w:t>。</w:t>
      </w:r>
    </w:p>
    <w:p>
      <w:pPr>
        <w:autoSpaceDE w:val="0"/>
        <w:autoSpaceDN w:val="0"/>
        <w:spacing w:before="190"/>
        <w:jc w:val="left"/>
      </w:pPr>
      <w:r>
        <w:drawing>
          <wp:inline distT="0" distB="0" distL="114300" distR="114300">
            <wp:extent cx="5272405" cy="3026410"/>
            <wp:effectExtent l="0" t="0" r="4445"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272405" cy="3026410"/>
                    </a:xfrm>
                    <a:prstGeom prst="rect">
                      <a:avLst/>
                    </a:prstGeom>
                    <a:noFill/>
                    <a:ln>
                      <a:noFill/>
                    </a:ln>
                  </pic:spPr>
                </pic:pic>
              </a:graphicData>
            </a:graphic>
          </wp:inline>
        </w:drawing>
      </w:r>
    </w:p>
    <w:p>
      <w:pPr>
        <w:autoSpaceDE w:val="0"/>
        <w:autoSpaceDN w:val="0"/>
        <w:spacing w:before="190"/>
        <w:ind w:firstLine="280" w:firstLineChars="100"/>
        <w:jc w:val="center"/>
        <w:rPr>
          <w:rFonts w:hint="eastAsia"/>
        </w:rPr>
      </w:pPr>
      <w:r>
        <w:rPr>
          <w:rFonts w:hint="eastAsia" w:ascii="楷体" w:hAnsi="楷体" w:eastAsia="楷体"/>
          <w:sz w:val="28"/>
          <w:szCs w:val="28"/>
        </w:rPr>
        <w:t>图1</w:t>
      </w:r>
      <w:r>
        <w:rPr>
          <w:rFonts w:ascii="楷体" w:hAnsi="楷体" w:eastAsia="楷体"/>
          <w:sz w:val="28"/>
          <w:szCs w:val="28"/>
        </w:rPr>
        <w:t>-</w:t>
      </w:r>
      <w:r>
        <w:rPr>
          <w:rFonts w:hint="eastAsia" w:ascii="楷体" w:hAnsi="楷体" w:eastAsia="楷体"/>
          <w:sz w:val="28"/>
          <w:szCs w:val="28"/>
          <w:lang w:val="en-US" w:eastAsia="zh-CN"/>
        </w:rPr>
        <w:t xml:space="preserve">5 </w:t>
      </w:r>
      <w:r>
        <w:rPr>
          <w:rFonts w:ascii="楷体" w:hAnsi="楷体" w:eastAsia="楷体"/>
          <w:sz w:val="28"/>
          <w:szCs w:val="28"/>
        </w:rPr>
        <w:t xml:space="preserve"> </w:t>
      </w:r>
      <w:r>
        <w:rPr>
          <w:rFonts w:hint="eastAsia" w:ascii="楷体" w:hAnsi="楷体" w:eastAsia="楷体"/>
          <w:sz w:val="28"/>
          <w:szCs w:val="28"/>
          <w:lang w:eastAsia="zh-CN"/>
        </w:rPr>
        <w:t>2019-2021届毕业生就业行业分布</w:t>
      </w:r>
    </w:p>
    <w:p>
      <w:pPr>
        <w:pStyle w:val="3"/>
      </w:pPr>
      <w:bookmarkStart w:id="15" w:name="_Toc15270"/>
      <w:r>
        <w:rPr>
          <w:rFonts w:hint="eastAsia"/>
        </w:rPr>
        <w:t>1</w:t>
      </w:r>
      <w:r>
        <w:t>.4</w:t>
      </w:r>
      <w:r>
        <w:rPr>
          <w:rFonts w:hint="eastAsia"/>
        </w:rPr>
        <w:t>创新创业</w:t>
      </w:r>
      <w:bookmarkEnd w:id="15"/>
    </w:p>
    <w:p>
      <w:pPr>
        <w:pStyle w:val="4"/>
        <w:rPr>
          <w:b w:val="0"/>
          <w:bCs w:val="0"/>
        </w:rPr>
      </w:pPr>
      <w:bookmarkStart w:id="16" w:name="_Toc8481"/>
      <w:r>
        <w:rPr>
          <w:b w:val="0"/>
          <w:bCs w:val="0"/>
        </w:rPr>
        <w:t>1.4.1</w:t>
      </w:r>
      <w:r>
        <w:rPr>
          <w:rFonts w:hint="eastAsia"/>
          <w:b w:val="0"/>
          <w:bCs w:val="0"/>
        </w:rPr>
        <w:t>创新能力逐步增强</w:t>
      </w:r>
      <w:bookmarkEnd w:id="16"/>
    </w:p>
    <w:p>
      <w:pPr>
        <w:autoSpaceDE w:val="0"/>
        <w:autoSpaceDN w:val="0"/>
        <w:spacing w:before="190"/>
        <w:ind w:left="936" w:firstLine="640" w:firstLineChars="200"/>
        <w:jc w:val="left"/>
        <w:rPr>
          <w:rFonts w:ascii="仿宋" w:hAnsi="仿宋"/>
          <w:szCs w:val="32"/>
        </w:rPr>
      </w:pPr>
      <w:r>
        <w:rPr>
          <w:rFonts w:hint="eastAsia" w:ascii="仿宋" w:hAnsi="仿宋"/>
          <w:szCs w:val="32"/>
        </w:rPr>
        <w:t>学院创新创业工作在近年来得到长足发展，逐步形成了教研室牵头、学生主创、基地帮扶、市场化运营四方面相互贯通的专创融合可持续性发展运行机制。以学生为中心，以培养创新创业人才、培植创新创业项目为目标，通过真实的项目、面对市场，帮助学生实现专业技术与创新创业项目有效对接，以“助力文化传承，点亮艺术人生”为宗旨，形成了“</w:t>
      </w:r>
      <w:r>
        <w:rPr>
          <w:rFonts w:ascii="仿宋" w:hAnsi="仿宋"/>
          <w:szCs w:val="32"/>
        </w:rPr>
        <w:t>X+创业”的基地运营模式。</w:t>
      </w:r>
    </w:p>
    <w:p>
      <w:pPr>
        <w:autoSpaceDE w:val="0"/>
        <w:autoSpaceDN w:val="0"/>
        <w:spacing w:before="190"/>
        <w:ind w:left="936" w:firstLine="640" w:firstLineChars="200"/>
        <w:jc w:val="left"/>
        <w:rPr>
          <w:rFonts w:ascii="楷体" w:hAnsi="楷体" w:eastAsia="楷体"/>
          <w:b/>
          <w:bCs/>
          <w:sz w:val="28"/>
          <w:szCs w:val="28"/>
        </w:rPr>
      </w:pPr>
      <w:r>
        <w:rPr>
          <w:rFonts w:hint="eastAsia" w:ascii="仿宋" w:hAnsi="仿宋"/>
          <w:szCs w:val="32"/>
        </w:rPr>
        <w:t>今年，美术系产品设计专业学生黄李参与的《薪火燎原—非遗美育传承与商业振兴突围者》项目，获得了第七届湖南省“互联网</w:t>
      </w:r>
      <w:r>
        <w:rPr>
          <w:rFonts w:ascii="仿宋" w:hAnsi="仿宋"/>
          <w:szCs w:val="32"/>
        </w:rPr>
        <w:t>+青年红色筑梦之旅”赛道创业组省级一等奖、国赛铜奖和第八届“创青春”湖南省青年创业创新大赛社会企业专项一等奖。</w:t>
      </w:r>
      <w:r>
        <w:rPr>
          <w:rFonts w:hint="eastAsia" w:ascii="仿宋" w:hAnsi="仿宋"/>
          <w:szCs w:val="32"/>
        </w:rPr>
        <w:t>文旅系</w:t>
      </w:r>
      <w:r>
        <w:rPr>
          <w:rFonts w:ascii="仿宋" w:hAnsi="仿宋"/>
          <w:szCs w:val="32"/>
        </w:rPr>
        <w:t>酒店管理专业学生郭健威团队运营的“湘艺茶苑——创新茶艺节目输出”项目入选文旅部职业教育提质培优行动计划</w:t>
      </w:r>
      <w:r>
        <w:rPr>
          <w:rFonts w:hint="eastAsia" w:ascii="仿宋" w:hAnsi="仿宋"/>
          <w:szCs w:val="32"/>
        </w:rPr>
        <w:t>。</w:t>
      </w:r>
      <w:r>
        <w:rPr>
          <w:rFonts w:ascii="仿宋" w:hAnsi="仿宋"/>
          <w:szCs w:val="32"/>
        </w:rPr>
        <w:cr/>
      </w:r>
      <w:r>
        <w:rPr>
          <w:rFonts w:hint="eastAsia" w:ascii="楷体" w:hAnsi="楷体" w:eastAsia="楷体"/>
          <w:b/>
          <w:bCs/>
          <w:sz w:val="28"/>
          <w:szCs w:val="28"/>
        </w:rPr>
        <w:t>【典型案例1</w:t>
      </w:r>
      <w:r>
        <w:rPr>
          <w:rFonts w:ascii="楷体" w:hAnsi="楷体" w:eastAsia="楷体"/>
          <w:b/>
          <w:bCs/>
          <w:sz w:val="28"/>
          <w:szCs w:val="28"/>
        </w:rPr>
        <w:t>-2</w:t>
      </w:r>
      <w:r>
        <w:rPr>
          <w:rFonts w:hint="eastAsia" w:ascii="楷体" w:hAnsi="楷体" w:eastAsia="楷体"/>
          <w:b/>
          <w:bCs/>
          <w:sz w:val="28"/>
          <w:szCs w:val="28"/>
        </w:rPr>
        <w:t>】“</w:t>
      </w:r>
      <w:r>
        <w:rPr>
          <w:rFonts w:ascii="楷体" w:hAnsi="楷体" w:eastAsia="楷体"/>
          <w:b/>
          <w:bCs/>
          <w:sz w:val="28"/>
          <w:szCs w:val="28"/>
        </w:rPr>
        <w:t>X+创业”基地运营模式</w:t>
      </w:r>
      <w:r>
        <w:rPr>
          <w:rFonts w:hint="eastAsia" w:ascii="楷体" w:hAnsi="楷体" w:eastAsia="楷体"/>
          <w:b/>
          <w:bCs/>
          <w:sz w:val="28"/>
          <w:szCs w:val="28"/>
        </w:rPr>
        <w:t>成绩显著</w:t>
      </w:r>
    </w:p>
    <w:p>
      <w:pPr>
        <w:autoSpaceDE w:val="0"/>
        <w:autoSpaceDN w:val="0"/>
        <w:spacing w:before="190"/>
        <w:ind w:left="936" w:firstLine="562" w:firstLineChars="200"/>
        <w:jc w:val="left"/>
        <w:rPr>
          <w:rFonts w:ascii="楷体" w:hAnsi="楷体" w:eastAsia="楷体"/>
          <w:sz w:val="28"/>
          <w:szCs w:val="28"/>
        </w:rPr>
      </w:pPr>
      <w:r>
        <w:rPr>
          <w:rFonts w:ascii="楷体" w:hAnsi="楷体" w:eastAsia="楷体"/>
          <w:b/>
          <w:bCs/>
          <w:sz w:val="28"/>
          <w:szCs w:val="28"/>
        </w:rPr>
        <w:t>专业技术+创业。</w:t>
      </w:r>
      <w:r>
        <w:rPr>
          <w:rFonts w:ascii="楷体" w:hAnsi="楷体" w:eastAsia="楷体"/>
          <w:sz w:val="28"/>
          <w:szCs w:val="28"/>
        </w:rPr>
        <w:t>基地参与孵化的专创融合高职组项目“长沙市漫视文化传媒有限公司”团队成员来自摄影摄像技术、广播影视节目制作、播音主持、影视编导、影视多媒体技术，直接对接学院广播影视专业群建设，运营的项目《“湘语乡声”—乡村振兴网络视听产业开发》，致力于用网络视听产品，加大对湖南省贫困地区人文风情、自然景观、非物质文化遗产和农特产品的宣传力度，不仅为当地打造了市场品牌，助力了乡村振兴，还将校内学生的专业学习与校外的专业实践进行了有机结合。</w:t>
      </w:r>
    </w:p>
    <w:p>
      <w:pPr>
        <w:autoSpaceDE w:val="0"/>
        <w:autoSpaceDN w:val="0"/>
        <w:spacing w:before="190"/>
        <w:ind w:left="936" w:firstLine="562" w:firstLineChars="200"/>
        <w:jc w:val="left"/>
        <w:rPr>
          <w:rFonts w:ascii="楷体" w:hAnsi="楷体" w:eastAsia="楷体"/>
          <w:sz w:val="28"/>
          <w:szCs w:val="28"/>
        </w:rPr>
      </w:pPr>
      <w:r>
        <w:rPr>
          <w:rFonts w:ascii="楷体" w:hAnsi="楷体" w:eastAsia="楷体"/>
          <w:b/>
          <w:bCs/>
          <w:sz w:val="28"/>
          <w:szCs w:val="28"/>
        </w:rPr>
        <w:t>民族文化+创业。</w:t>
      </w:r>
      <w:r>
        <w:rPr>
          <w:rFonts w:ascii="楷体" w:hAnsi="楷体" w:eastAsia="楷体"/>
          <w:sz w:val="28"/>
          <w:szCs w:val="28"/>
        </w:rPr>
        <w:t>基地和系部联合孵化的中职组“长沙鼓舞苗乡文化传媒有限公司”团队运营的项目《鼓舞苗乡——致力乡村振兴，画出最大“同心圆”》，作为团队“苗鼓花”的苗家姑娘田梓墨，依托湘西凤凰苗族地区花鼓为切入点，与团队成员一同利用暑期多次前往湘西苗寨走访、学习，与传承人洪月英对话，探寻苗乡文化的秘密，并与当地乡村振兴局达成文化推广意向，用自身专业将舞蹈创作与民族文化相融合，创作了具有民族特色的群众文化作品。</w:t>
      </w:r>
      <w:r>
        <w:rPr>
          <w:rFonts w:ascii="Calibri" w:hAnsi="Calibri" w:eastAsia="楷体" w:cs="Calibri"/>
          <w:sz w:val="28"/>
          <w:szCs w:val="28"/>
        </w:rPr>
        <w:t> </w:t>
      </w:r>
    </w:p>
    <w:p>
      <w:pPr>
        <w:autoSpaceDE w:val="0"/>
        <w:autoSpaceDN w:val="0"/>
        <w:spacing w:before="190"/>
        <w:ind w:left="936" w:firstLine="562" w:firstLineChars="200"/>
        <w:jc w:val="left"/>
        <w:rPr>
          <w:rFonts w:ascii="楷体" w:hAnsi="楷体" w:eastAsia="楷体"/>
          <w:sz w:val="28"/>
          <w:szCs w:val="28"/>
        </w:rPr>
      </w:pPr>
      <w:r>
        <w:rPr>
          <w:rFonts w:ascii="楷体" w:hAnsi="楷体" w:eastAsia="楷体"/>
          <w:b/>
          <w:bCs/>
          <w:sz w:val="28"/>
          <w:szCs w:val="28"/>
        </w:rPr>
        <w:t>非遗传承+创业。</w:t>
      </w:r>
      <w:r>
        <w:rPr>
          <w:rFonts w:ascii="楷体" w:hAnsi="楷体" w:eastAsia="楷体"/>
          <w:sz w:val="28"/>
          <w:szCs w:val="28"/>
        </w:rPr>
        <w:t>美术系产品设计专业学生黄李，参与的</w:t>
      </w:r>
      <w:r>
        <w:rPr>
          <w:rFonts w:hint="eastAsia" w:ascii="楷体" w:hAnsi="楷体" w:eastAsia="楷体"/>
          <w:sz w:val="28"/>
          <w:szCs w:val="28"/>
        </w:rPr>
        <w:t>《</w:t>
      </w:r>
      <w:r>
        <w:rPr>
          <w:rFonts w:ascii="楷体" w:hAnsi="楷体" w:eastAsia="楷体"/>
          <w:sz w:val="28"/>
          <w:szCs w:val="28"/>
        </w:rPr>
        <w:t>薪火燎原—非遗美育传承与商业振兴突围者》项目，以“非遗竹编进校园·非遗课程进学堂”活动为契机，致力于弘扬非遗竹编文化，促进技艺发展</w:t>
      </w:r>
      <w:r>
        <w:rPr>
          <w:rFonts w:hint="eastAsia" w:ascii="楷体" w:hAnsi="楷体" w:eastAsia="楷体"/>
          <w:sz w:val="28"/>
          <w:szCs w:val="28"/>
        </w:rPr>
        <w:t>。</w:t>
      </w:r>
    </w:p>
    <w:p>
      <w:pPr>
        <w:autoSpaceDE w:val="0"/>
        <w:autoSpaceDN w:val="0"/>
        <w:spacing w:before="190"/>
        <w:ind w:left="936" w:firstLine="562" w:firstLineChars="200"/>
        <w:jc w:val="left"/>
        <w:rPr>
          <w:rFonts w:ascii="楷体" w:hAnsi="楷体" w:eastAsia="楷体"/>
          <w:sz w:val="28"/>
          <w:szCs w:val="28"/>
        </w:rPr>
      </w:pPr>
      <w:r>
        <w:rPr>
          <w:rFonts w:ascii="楷体" w:hAnsi="楷体" w:eastAsia="楷体"/>
          <w:b/>
          <w:bCs/>
          <w:sz w:val="28"/>
          <w:szCs w:val="28"/>
        </w:rPr>
        <w:t>科学研究+创业。</w:t>
      </w:r>
      <w:r>
        <w:rPr>
          <w:rFonts w:ascii="楷体" w:hAnsi="楷体" w:eastAsia="楷体"/>
          <w:sz w:val="28"/>
          <w:szCs w:val="28"/>
        </w:rPr>
        <w:t>学院胡斌老师指导、文旅系2019级酒店管理专业学生郭健威创办的“长沙市水吟轩文化传播有限责任公司”团队，依托校内成熟的茶艺实训基地运营的“湘艺茶苑——创新茶艺节目输出”项目，通过创新茶艺表演、文创产品输出，不断探索研发“文化+茶艺”相融合的创新茶艺作品，推广茶文化，拓展茶的文化内涵，于今年7月入选文旅部职业教育提质培优行动计划。</w:t>
      </w:r>
    </w:p>
    <w:p>
      <w:pPr>
        <w:pStyle w:val="4"/>
        <w:rPr>
          <w:b w:val="0"/>
          <w:bCs w:val="0"/>
        </w:rPr>
      </w:pPr>
      <w:bookmarkStart w:id="17" w:name="_Toc26597"/>
      <w:r>
        <w:rPr>
          <w:rFonts w:hint="eastAsia"/>
          <w:b w:val="0"/>
          <w:bCs w:val="0"/>
        </w:rPr>
        <w:t>1</w:t>
      </w:r>
      <w:r>
        <w:rPr>
          <w:b w:val="0"/>
          <w:bCs w:val="0"/>
        </w:rPr>
        <w:t>.4.2</w:t>
      </w:r>
      <w:r>
        <w:rPr>
          <w:rFonts w:hint="eastAsia"/>
          <w:b w:val="0"/>
          <w:bCs w:val="0"/>
        </w:rPr>
        <w:t>积极营造创新创业教育氛围</w:t>
      </w:r>
      <w:bookmarkEnd w:id="17"/>
    </w:p>
    <w:p>
      <w:pPr>
        <w:autoSpaceDE w:val="0"/>
        <w:autoSpaceDN w:val="0"/>
        <w:spacing w:before="190"/>
        <w:ind w:left="936" w:firstLine="640" w:firstLineChars="200"/>
        <w:jc w:val="left"/>
        <w:rPr>
          <w:rFonts w:ascii="仿宋" w:hAnsi="仿宋"/>
          <w:szCs w:val="32"/>
        </w:rPr>
      </w:pPr>
      <w:r>
        <w:rPr>
          <w:rFonts w:hint="eastAsia" w:ascii="仿宋" w:hAnsi="仿宋"/>
          <w:szCs w:val="32"/>
        </w:rPr>
        <w:t>学院通过集中与分散相结合的方式，建有院级众创空间</w:t>
      </w:r>
      <w:r>
        <w:rPr>
          <w:rFonts w:ascii="仿宋" w:hAnsi="仿宋"/>
          <w:szCs w:val="32"/>
        </w:rPr>
        <w:t>1个，面积约1980平方米；院级创客中心1个，面积约200平方；专业群主建的创客空间5个；此外还有将近1500平方米，以非物质文化遗产传承为主的创客工坊已经获批待建</w:t>
      </w:r>
      <w:r>
        <w:rPr>
          <w:rFonts w:hint="eastAsia" w:ascii="仿宋" w:hAnsi="仿宋"/>
          <w:szCs w:val="32"/>
        </w:rPr>
        <w:t>中</w:t>
      </w:r>
      <w:r>
        <w:rPr>
          <w:rFonts w:ascii="仿宋" w:hAnsi="仿宋"/>
          <w:szCs w:val="32"/>
        </w:rPr>
        <w:t>，基本上形成了既具有文化艺术类高校特色，又具有肩负历史使命传承文化的创新创业工作新格局。</w:t>
      </w:r>
    </w:p>
    <w:p>
      <w:pPr>
        <w:autoSpaceDE w:val="0"/>
        <w:autoSpaceDN w:val="0"/>
        <w:spacing w:before="190"/>
        <w:ind w:left="936" w:firstLine="640" w:firstLineChars="200"/>
        <w:jc w:val="left"/>
        <w:rPr>
          <w:rFonts w:ascii="仿宋" w:hAnsi="仿宋"/>
          <w:szCs w:val="32"/>
        </w:rPr>
      </w:pPr>
      <w:r>
        <w:rPr>
          <w:rFonts w:hint="eastAsia" w:ascii="仿宋" w:hAnsi="仿宋"/>
          <w:szCs w:val="32"/>
        </w:rPr>
        <w:t>为加强对创新创业孵化基地管理，学院制定了《湖南艺术职业学院创客中心管理办法（试行）》等系列制度，明确了项目入驻条件、流程、退出、日常管理、经费管理，以及大学生创新创业奖励等方面的要求，实现了对项目进行动态化管理。</w:t>
      </w:r>
    </w:p>
    <w:p>
      <w:pPr>
        <w:autoSpaceDE w:val="0"/>
        <w:autoSpaceDN w:val="0"/>
        <w:spacing w:before="190"/>
        <w:ind w:left="936" w:firstLine="640" w:firstLineChars="200"/>
        <w:jc w:val="left"/>
        <w:rPr>
          <w:rFonts w:ascii="仿宋" w:hAnsi="仿宋"/>
          <w:szCs w:val="32"/>
        </w:rPr>
      </w:pPr>
      <w:r>
        <w:rPr>
          <w:rFonts w:hint="eastAsia" w:ascii="仿宋" w:hAnsi="仿宋"/>
          <w:szCs w:val="32"/>
        </w:rPr>
        <w:t>为调动教职工参与指导学生创新创业活动的积极性，学院制定了《湖南艺术职业学院大学生创新创业活动激励措施（试行）》，将教师指导学生参加创新创业大赛获奖纳入教职工奖励范围，将其列为教师年度考核、绩效分配、职称评定、定等晋级等方面的重要内容。</w:t>
      </w:r>
    </w:p>
    <w:p>
      <w:pPr>
        <w:pStyle w:val="4"/>
        <w:rPr>
          <w:b w:val="0"/>
          <w:bCs w:val="0"/>
        </w:rPr>
      </w:pPr>
      <w:bookmarkStart w:id="18" w:name="_Toc30252"/>
      <w:r>
        <w:rPr>
          <w:rFonts w:hint="eastAsia"/>
          <w:b w:val="0"/>
          <w:bCs w:val="0"/>
        </w:rPr>
        <w:t>1</w:t>
      </w:r>
      <w:r>
        <w:rPr>
          <w:b w:val="0"/>
          <w:bCs w:val="0"/>
        </w:rPr>
        <w:t>.4.3</w:t>
      </w:r>
      <w:r>
        <w:rPr>
          <w:rFonts w:hint="eastAsia"/>
          <w:b w:val="0"/>
          <w:bCs w:val="0"/>
        </w:rPr>
        <w:t>自主创业团队显著增加</w:t>
      </w:r>
      <w:bookmarkEnd w:id="18"/>
    </w:p>
    <w:p>
      <w:pPr>
        <w:autoSpaceDE w:val="0"/>
        <w:autoSpaceDN w:val="0"/>
        <w:spacing w:before="190"/>
        <w:ind w:left="936" w:firstLine="640" w:firstLineChars="200"/>
        <w:jc w:val="left"/>
        <w:rPr>
          <w:rFonts w:ascii="仿宋" w:hAnsi="仿宋"/>
          <w:szCs w:val="32"/>
        </w:rPr>
      </w:pPr>
      <w:r>
        <w:rPr>
          <w:rFonts w:hint="eastAsia" w:ascii="仿宋" w:hAnsi="仿宋"/>
          <w:szCs w:val="32"/>
        </w:rPr>
        <w:t>学院创新创业经费充足，每年按不低于学费总数</w:t>
      </w:r>
      <w:r>
        <w:rPr>
          <w:rFonts w:ascii="仿宋" w:hAnsi="仿宋"/>
          <w:szCs w:val="32"/>
        </w:rPr>
        <w:t>0.5%安排创新创业专项经费，列入年度财务预算，专款专用。其中2020年实际支出22.53万元，2021年安排相关预算24万元，目前已经列支11.28万元。</w:t>
      </w:r>
      <w:r>
        <w:rPr>
          <w:rFonts w:hint="eastAsia" w:ascii="仿宋" w:hAnsi="仿宋"/>
          <w:szCs w:val="32"/>
        </w:rPr>
        <w:t>为扩大创新创业影响力，树立大学生创新创业典型，学院制定了《湖南艺术职业学院大学生创新创业奖学金管理办法（试行）》，并在</w:t>
      </w:r>
      <w:r>
        <w:rPr>
          <w:rFonts w:ascii="仿宋" w:hAnsi="仿宋"/>
          <w:szCs w:val="32"/>
        </w:rPr>
        <w:t>2021年进行了首次评选，共评出大学生创新创业奖学金获得者9人，颁发奖学金12500元。</w:t>
      </w:r>
    </w:p>
    <w:p>
      <w:pPr>
        <w:autoSpaceDE w:val="0"/>
        <w:autoSpaceDN w:val="0"/>
        <w:spacing w:before="190"/>
        <w:ind w:left="936" w:firstLine="640" w:firstLineChars="200"/>
        <w:jc w:val="left"/>
        <w:rPr>
          <w:rFonts w:ascii="仿宋" w:hAnsi="仿宋"/>
          <w:szCs w:val="32"/>
        </w:rPr>
      </w:pPr>
      <w:r>
        <w:rPr>
          <w:rFonts w:hint="eastAsia" w:ascii="仿宋" w:hAnsi="仿宋"/>
          <w:szCs w:val="32"/>
        </w:rPr>
        <w:t>目前，在院级大学生众创空间进驻了</w:t>
      </w:r>
      <w:r>
        <w:rPr>
          <w:rFonts w:ascii="仿宋" w:hAnsi="仿宋"/>
          <w:szCs w:val="32"/>
        </w:rPr>
        <w:t>16个符合条件的大学生创新创业项目团队正在基地孵化。</w:t>
      </w:r>
    </w:p>
    <w:p>
      <w:pPr>
        <w:pStyle w:val="2"/>
      </w:pPr>
      <w:bookmarkStart w:id="19" w:name="_Toc2829"/>
      <w:r>
        <w:rPr>
          <w:rFonts w:hint="eastAsia"/>
        </w:rPr>
        <w:t>2教学改革</w:t>
      </w:r>
      <w:bookmarkEnd w:id="19"/>
    </w:p>
    <w:p>
      <w:pPr>
        <w:pStyle w:val="3"/>
      </w:pPr>
      <w:bookmarkStart w:id="20" w:name="_Toc5879"/>
      <w:r>
        <w:rPr>
          <w:rFonts w:hint="eastAsia"/>
        </w:rPr>
        <w:t>2</w:t>
      </w:r>
      <w:r>
        <w:t>.1</w:t>
      </w:r>
      <w:r>
        <w:rPr>
          <w:rFonts w:hint="eastAsia"/>
        </w:rPr>
        <w:t>立德树人</w:t>
      </w:r>
      <w:bookmarkEnd w:id="20"/>
    </w:p>
    <w:p>
      <w:pPr>
        <w:pStyle w:val="4"/>
        <w:rPr>
          <w:b w:val="0"/>
          <w:bCs w:val="0"/>
        </w:rPr>
      </w:pPr>
      <w:bookmarkStart w:id="21" w:name="_Toc13959"/>
      <w:r>
        <w:rPr>
          <w:rFonts w:hint="eastAsia"/>
          <w:b w:val="0"/>
          <w:bCs w:val="0"/>
        </w:rPr>
        <w:t>2</w:t>
      </w:r>
      <w:r>
        <w:rPr>
          <w:b w:val="0"/>
          <w:bCs w:val="0"/>
        </w:rPr>
        <w:t>.1.1</w:t>
      </w:r>
      <w:r>
        <w:rPr>
          <w:rFonts w:hint="eastAsia"/>
          <w:b w:val="0"/>
          <w:bCs w:val="0"/>
        </w:rPr>
        <w:t>思想政治教育</w:t>
      </w:r>
      <w:bookmarkEnd w:id="21"/>
    </w:p>
    <w:p>
      <w:pPr>
        <w:autoSpaceDE w:val="0"/>
        <w:autoSpaceDN w:val="0"/>
        <w:spacing w:before="190"/>
        <w:ind w:left="936" w:firstLine="640" w:firstLineChars="200"/>
        <w:jc w:val="left"/>
        <w:rPr>
          <w:rFonts w:ascii="仿宋" w:hAnsi="仿宋"/>
          <w:szCs w:val="32"/>
        </w:rPr>
      </w:pPr>
      <w:r>
        <w:rPr>
          <w:rFonts w:hint="eastAsia" w:ascii="仿宋" w:hAnsi="仿宋"/>
          <w:szCs w:val="32"/>
        </w:rPr>
        <w:t>落实立德树人根本任务，多维渗透新时代文化育人思潮。</w:t>
      </w:r>
      <w:r>
        <w:rPr>
          <w:rFonts w:ascii="仿宋" w:hAnsi="仿宋"/>
          <w:szCs w:val="32"/>
        </w:rPr>
        <w:t>学</w:t>
      </w:r>
      <w:r>
        <w:rPr>
          <w:rFonts w:hint="eastAsia" w:ascii="仿宋" w:hAnsi="仿宋"/>
          <w:szCs w:val="32"/>
        </w:rPr>
        <w:t>院</w:t>
      </w:r>
      <w:r>
        <w:rPr>
          <w:rFonts w:ascii="仿宋" w:hAnsi="仿宋"/>
          <w:szCs w:val="32"/>
        </w:rPr>
        <w:t>积极健全校园文化建设工作体系，充分发挥党团、工会组织和学生会、社团的重要作用。</w:t>
      </w:r>
      <w:r>
        <w:rPr>
          <w:rFonts w:hint="eastAsia" w:ascii="仿宋" w:hAnsi="仿宋"/>
          <w:szCs w:val="32"/>
        </w:rPr>
        <w:t>学院</w:t>
      </w:r>
      <w:r>
        <w:rPr>
          <w:rFonts w:ascii="仿宋" w:hAnsi="仿宋"/>
          <w:szCs w:val="32"/>
        </w:rPr>
        <w:t>党委加强统一领导，由</w:t>
      </w:r>
      <w:r>
        <w:rPr>
          <w:rFonts w:hint="eastAsia" w:ascii="仿宋" w:hAnsi="仿宋"/>
          <w:szCs w:val="32"/>
        </w:rPr>
        <w:t>党政办（</w:t>
      </w:r>
      <w:r>
        <w:rPr>
          <w:rFonts w:ascii="仿宋" w:hAnsi="仿宋"/>
          <w:szCs w:val="32"/>
        </w:rPr>
        <w:t>党委宣传部</w:t>
      </w:r>
      <w:r>
        <w:rPr>
          <w:rFonts w:hint="eastAsia" w:ascii="仿宋" w:hAnsi="仿宋"/>
          <w:szCs w:val="32"/>
        </w:rPr>
        <w:t>）</w:t>
      </w:r>
      <w:r>
        <w:rPr>
          <w:rFonts w:ascii="仿宋" w:hAnsi="仿宋"/>
          <w:szCs w:val="32"/>
        </w:rPr>
        <w:t>牵头组织开展校园文化建设工作，积极探索校园文化建设协同创新机制，充分发挥校园文化的育人作用，以潜移默化地方式增强师生的文化自信和</w:t>
      </w:r>
      <w:r>
        <w:rPr>
          <w:rFonts w:hint="eastAsia" w:ascii="仿宋" w:hAnsi="仿宋"/>
          <w:szCs w:val="32"/>
        </w:rPr>
        <w:t>对校园的</w:t>
      </w:r>
      <w:r>
        <w:rPr>
          <w:rFonts w:ascii="仿宋" w:hAnsi="仿宋"/>
          <w:szCs w:val="32"/>
        </w:rPr>
        <w:t>认同感，</w:t>
      </w:r>
      <w:r>
        <w:rPr>
          <w:rFonts w:hint="eastAsia" w:ascii="仿宋" w:hAnsi="仿宋"/>
          <w:szCs w:val="32"/>
        </w:rPr>
        <w:t>学院</w:t>
      </w:r>
      <w:r>
        <w:rPr>
          <w:rFonts w:ascii="仿宋" w:hAnsi="仿宋"/>
          <w:szCs w:val="32"/>
        </w:rPr>
        <w:t>校园文化环境与场所总体布局合理、活动丰富，管理有序。</w:t>
      </w:r>
    </w:p>
    <w:p>
      <w:pPr>
        <w:autoSpaceDE w:val="0"/>
        <w:autoSpaceDN w:val="0"/>
        <w:spacing w:before="190"/>
        <w:ind w:left="936" w:firstLine="640" w:firstLineChars="200"/>
        <w:jc w:val="left"/>
        <w:rPr>
          <w:rFonts w:ascii="仿宋" w:hAnsi="仿宋"/>
          <w:szCs w:val="32"/>
        </w:rPr>
      </w:pPr>
      <w:r>
        <w:rPr>
          <w:rFonts w:ascii="仿宋" w:hAnsi="仿宋"/>
          <w:szCs w:val="32"/>
        </w:rPr>
        <w:t>加速创新思想政治教育载体。学校注重弘扬和传承大学精神，加强对办学理念、校训、校风等精神内涵的凝练，充分展示</w:t>
      </w:r>
      <w:r>
        <w:rPr>
          <w:rFonts w:hint="eastAsia" w:ascii="仿宋" w:hAnsi="仿宋"/>
          <w:szCs w:val="32"/>
        </w:rPr>
        <w:t>学院</w:t>
      </w:r>
      <w:r>
        <w:rPr>
          <w:rFonts w:ascii="仿宋" w:hAnsi="仿宋"/>
          <w:szCs w:val="32"/>
        </w:rPr>
        <w:t>鲜明的文化积淀和文化追求</w:t>
      </w:r>
      <w:r>
        <w:rPr>
          <w:rFonts w:hint="eastAsia" w:ascii="仿宋" w:hAnsi="仿宋"/>
          <w:szCs w:val="32"/>
        </w:rPr>
        <w:t>。每年在学校开学典礼、毕业典礼等重要场合，均会宣传和阐述“德艺双馨、敢为人先”的校训精神以及“围绕舞台、造就人才，立足文旅、服务社会”的办学理念的精神实质。把校史作为“不忘初心、牢记使命”主题教育和“四史”学习教育的重要学习内容，校史馆改造，校歌学唱等，进一步丰富校史教育的内涵，提高了校史育人的水平。</w:t>
      </w:r>
    </w:p>
    <w:p>
      <w:pPr>
        <w:autoSpaceDE w:val="0"/>
        <w:autoSpaceDN w:val="0"/>
        <w:spacing w:before="190"/>
        <w:ind w:left="936" w:firstLine="640" w:firstLineChars="200"/>
        <w:jc w:val="left"/>
        <w:rPr>
          <w:rFonts w:ascii="仿宋" w:hAnsi="仿宋"/>
          <w:szCs w:val="32"/>
        </w:rPr>
      </w:pPr>
      <w:r>
        <w:rPr>
          <w:rFonts w:ascii="仿宋" w:hAnsi="仿宋"/>
          <w:szCs w:val="32"/>
        </w:rPr>
        <w:t>持续优化思想政治教育内容。学院坚持用习近平新时代中国特色社会主义思想铸魂育人，加强理论武装，构建理论教育、品牌活动、正向激励有机融合的师生思想政治教育体系。通过建立成长辅导室</w:t>
      </w:r>
      <w:r>
        <w:rPr>
          <w:rFonts w:hint="eastAsia" w:ascii="仿宋" w:hAnsi="仿宋"/>
          <w:szCs w:val="32"/>
        </w:rPr>
        <w:t>，开展“辅导员沙龙”、“经典剧本品鉴会”、“三湘读书月”进校园、“艺苑真人图书馆第六季”、“艺术讲坛”等活动。</w:t>
      </w:r>
    </w:p>
    <w:p>
      <w:pPr>
        <w:autoSpaceDE w:val="0"/>
        <w:autoSpaceDN w:val="0"/>
        <w:spacing w:before="190"/>
        <w:ind w:left="936" w:firstLine="640" w:firstLineChars="200"/>
        <w:jc w:val="left"/>
        <w:rPr>
          <w:rFonts w:ascii="仿宋" w:hAnsi="仿宋"/>
          <w:szCs w:val="32"/>
        </w:rPr>
      </w:pPr>
      <w:r>
        <w:rPr>
          <w:rFonts w:ascii="仿宋" w:hAnsi="仿宋"/>
          <w:szCs w:val="32"/>
        </w:rPr>
        <w:t>优化思想政治教育的平台。</w:t>
      </w:r>
      <w:r>
        <w:rPr>
          <w:rFonts w:hint="eastAsia" w:ascii="仿宋" w:hAnsi="仿宋"/>
          <w:szCs w:val="32"/>
        </w:rPr>
        <w:t>学院</w:t>
      </w:r>
      <w:r>
        <w:rPr>
          <w:rFonts w:ascii="仿宋" w:hAnsi="仿宋"/>
          <w:szCs w:val="32"/>
        </w:rPr>
        <w:t>学生社团活动丰富，正式注册社团35个。加强对社团管理，规范社团规章制度建设，全覆盖配备指导老师，进行了一系列改革，积极支持国学社、汉服社、茶社等一批优秀传统文化社团开展活动，传播</w:t>
      </w:r>
      <w:r>
        <w:rPr>
          <w:rFonts w:hint="eastAsia" w:ascii="仿宋" w:hAnsi="仿宋"/>
          <w:szCs w:val="32"/>
        </w:rPr>
        <w:t>优秀的</w:t>
      </w:r>
      <w:r>
        <w:rPr>
          <w:rFonts w:ascii="仿宋" w:hAnsi="仿宋"/>
          <w:szCs w:val="32"/>
        </w:rPr>
        <w:t>传统文化。学生参与社团比例超过90%。打造“湖艺微学工”、“湖艺团小青”</w:t>
      </w:r>
      <w:r>
        <w:rPr>
          <w:rFonts w:hint="eastAsia" w:ascii="仿宋" w:hAnsi="仿宋"/>
          <w:szCs w:val="32"/>
        </w:rPr>
        <w:t>、</w:t>
      </w:r>
      <w:r>
        <w:rPr>
          <w:rFonts w:ascii="仿宋" w:hAnsi="仿宋"/>
          <w:szCs w:val="32"/>
        </w:rPr>
        <w:t>“湖艺学社联”、“湖艺学生会”四大网络育人</w:t>
      </w:r>
      <w:r>
        <w:rPr>
          <w:rFonts w:hint="eastAsia" w:ascii="仿宋" w:hAnsi="仿宋"/>
          <w:szCs w:val="32"/>
        </w:rPr>
        <w:t>平台，充分利用“学习强国”、“青年大学习”推进学习，进一步提高政治站位，始终坚持社会主义办学方向，致力于培养德智体美劳全面发展的社会主义建设者和接班人。</w:t>
      </w:r>
    </w:p>
    <w:p>
      <w:pPr>
        <w:autoSpaceDE w:val="0"/>
        <w:autoSpaceDN w:val="0"/>
        <w:spacing w:before="190"/>
        <w:ind w:left="936" w:firstLine="640" w:firstLineChars="200"/>
        <w:jc w:val="left"/>
        <w:rPr>
          <w:rFonts w:ascii="仿宋" w:hAnsi="仿宋"/>
          <w:w w:val="95"/>
          <w:szCs w:val="32"/>
        </w:rPr>
      </w:pPr>
      <w:r>
        <w:rPr>
          <w:rFonts w:ascii="仿宋" w:hAnsi="仿宋"/>
          <w:szCs w:val="32"/>
        </w:rPr>
        <w:t>通过建立规范制度、保障制度、激励制度，加强顶层设计，建立学院网络思想政治工作长效机制；优化网络育人平台推送内容，增强平台吸引力，将理想信念教育、爱国爱党教育融入其中，帮助大学生树立正确的择业观，发挥网络育人平台的舆论引导作用，提升平台思想政治教育效果。“湖艺团小青”、“湖艺学生会”、“湖艺学社联”、“湖艺学生会”</w:t>
      </w:r>
      <w:r>
        <w:rPr>
          <w:rFonts w:hint="eastAsia" w:ascii="仿宋" w:hAnsi="仿宋"/>
          <w:szCs w:val="32"/>
        </w:rPr>
        <w:t>、</w:t>
      </w:r>
      <w:r>
        <w:rPr>
          <w:rFonts w:ascii="仿宋" w:hAnsi="仿宋"/>
          <w:szCs w:val="32"/>
        </w:rPr>
        <w:t>“青媒君”等公众微信号和“青媒</w:t>
      </w:r>
      <w:r>
        <w:rPr>
          <w:rFonts w:ascii="仿宋" w:hAnsi="仿宋"/>
          <w:w w:val="95"/>
          <w:szCs w:val="32"/>
        </w:rPr>
        <w:t>君”抖音账号建设</w:t>
      </w:r>
      <w:r>
        <w:rPr>
          <w:rFonts w:hint="eastAsia" w:ascii="仿宋" w:hAnsi="仿宋"/>
          <w:w w:val="95"/>
          <w:szCs w:val="32"/>
        </w:rPr>
        <w:t>，累计推文总计</w:t>
      </w:r>
      <w:r>
        <w:rPr>
          <w:rFonts w:ascii="仿宋" w:hAnsi="仿宋"/>
          <w:w w:val="95"/>
          <w:szCs w:val="32"/>
        </w:rPr>
        <w:t>300余篇，总计浏览量30余万人次。</w:t>
      </w:r>
    </w:p>
    <w:p>
      <w:pPr>
        <w:autoSpaceDE w:val="0"/>
        <w:autoSpaceDN w:val="0"/>
        <w:spacing w:before="190"/>
        <w:ind w:left="936" w:firstLine="640" w:firstLineChars="200"/>
        <w:jc w:val="left"/>
        <w:rPr>
          <w:rFonts w:ascii="仿宋" w:hAnsi="仿宋"/>
          <w:szCs w:val="32"/>
        </w:rPr>
      </w:pPr>
      <w:r>
        <w:rPr>
          <w:rFonts w:hint="eastAsia" w:ascii="仿宋" w:hAnsi="仿宋"/>
          <w:szCs w:val="32"/>
        </w:rPr>
        <w:t>在教育部思想政治工作司公布的</w:t>
      </w:r>
      <w:r>
        <w:rPr>
          <w:rFonts w:ascii="仿宋" w:hAnsi="仿宋"/>
          <w:szCs w:val="32"/>
        </w:rPr>
        <w:t>2021年高校思想政治工作有关培育建设项目名单，学院影视系话剧作品《半条被子》入选“高校原创文化精品推广行动计划”，全国仅2所高职院校入选该计划。该剧已公开演出十余场，线上线下累计观看人次近10万，好评如潮、反响强烈。</w:t>
      </w:r>
      <w:r>
        <w:rPr>
          <w:rFonts w:ascii="Calibri" w:hAnsi="Calibri" w:cs="Calibri"/>
          <w:szCs w:val="32"/>
        </w:rPr>
        <w:t> </w:t>
      </w:r>
    </w:p>
    <w:p>
      <w:pPr>
        <w:pStyle w:val="4"/>
        <w:rPr>
          <w:b w:val="0"/>
          <w:bCs w:val="0"/>
        </w:rPr>
      </w:pPr>
      <w:bookmarkStart w:id="22" w:name="_Toc25891"/>
      <w:r>
        <w:rPr>
          <w:b w:val="0"/>
          <w:bCs w:val="0"/>
        </w:rPr>
        <w:t>2.1.2“</w:t>
      </w:r>
      <w:r>
        <w:rPr>
          <w:rFonts w:hint="eastAsia"/>
          <w:b w:val="0"/>
          <w:bCs w:val="0"/>
        </w:rPr>
        <w:t>三全育人</w:t>
      </w:r>
      <w:r>
        <w:rPr>
          <w:b w:val="0"/>
          <w:bCs w:val="0"/>
        </w:rPr>
        <w:t>”</w:t>
      </w:r>
      <w:bookmarkEnd w:id="22"/>
    </w:p>
    <w:p>
      <w:pPr>
        <w:autoSpaceDE w:val="0"/>
        <w:autoSpaceDN w:val="0"/>
        <w:spacing w:before="190"/>
        <w:ind w:left="936" w:firstLine="640" w:firstLineChars="200"/>
        <w:jc w:val="left"/>
        <w:rPr>
          <w:rFonts w:ascii="仿宋" w:hAnsi="仿宋"/>
          <w:szCs w:val="32"/>
        </w:rPr>
      </w:pPr>
      <w:r>
        <w:rPr>
          <w:rFonts w:hint="eastAsia" w:ascii="仿宋" w:hAnsi="仿宋"/>
          <w:szCs w:val="32"/>
        </w:rPr>
        <w:t>学管队伍聚力“三全育人”，在疫情防控战役中与学生同心同行，积极传递信心、爱心、暖心，指导学生发展，千方百计保障学生成长“不掉线”。</w:t>
      </w:r>
    </w:p>
    <w:p>
      <w:pPr>
        <w:autoSpaceDE w:val="0"/>
        <w:autoSpaceDN w:val="0"/>
        <w:spacing w:before="190"/>
        <w:ind w:left="936" w:firstLine="640" w:firstLineChars="200"/>
        <w:jc w:val="left"/>
        <w:rPr>
          <w:rFonts w:ascii="仿宋" w:hAnsi="仿宋"/>
          <w:szCs w:val="32"/>
        </w:rPr>
      </w:pPr>
      <w:r>
        <w:rPr>
          <w:rFonts w:ascii="仿宋" w:hAnsi="仿宋"/>
          <w:szCs w:val="32"/>
        </w:rPr>
        <w:t>“全员”育人，渗透式教育。全体辅导员积极践行岗位职责，线上线下“全过程”引领学生成长发展。做好思想“全过程”引领，组织学生上好新学期第一课、教育部疫情防控思政大课，认真讲好各类信仰公开课，主动及时向学生讲制度优势、讲文化自信、讲民族精神、讲青年担当，进一步涵育学生爱国情、强国志、报国行。</w:t>
      </w:r>
      <w:r>
        <w:rPr>
          <w:rFonts w:ascii="仿宋" w:hAnsi="仿宋"/>
          <w:szCs w:val="32"/>
        </w:rPr>
        <w:cr/>
      </w:r>
      <w:r>
        <w:rPr>
          <w:rFonts w:ascii="仿宋" w:hAnsi="仿宋"/>
          <w:szCs w:val="32"/>
        </w:rPr>
        <w:t xml:space="preserve">    “全过程”引导，渗透式教育。将说教式的道德教育转化为渗透式的道德教育。渗透式的</w:t>
      </w:r>
      <w:r>
        <w:rPr>
          <w:rFonts w:hint="eastAsia" w:ascii="仿宋" w:hAnsi="仿宋"/>
          <w:szCs w:val="32"/>
        </w:rPr>
        <w:t>道德教育既可以避免说教式的道德教育引起学生反感的倾向，又可以把外化的道德教育转化为内化的道德教育，并使环境的隐性教育作用充分发挥出来，收到潜移默化、渗透育人的效果。充分发挥校园文化育人的作用，摒弃将知识传授、道德培养相分离的教育理念，实现由“教书育人”向“育人教书”的转变，充分实现文化育人。</w:t>
      </w:r>
    </w:p>
    <w:p>
      <w:pPr>
        <w:autoSpaceDE w:val="0"/>
        <w:autoSpaceDN w:val="0"/>
        <w:spacing w:before="190"/>
        <w:ind w:left="936" w:firstLine="640" w:firstLineChars="200"/>
        <w:jc w:val="left"/>
        <w:rPr>
          <w:rFonts w:ascii="仿宋" w:hAnsi="仿宋"/>
          <w:szCs w:val="32"/>
        </w:rPr>
      </w:pPr>
      <w:r>
        <w:rPr>
          <w:rFonts w:ascii="仿宋" w:hAnsi="仿宋"/>
          <w:szCs w:val="32"/>
        </w:rPr>
        <w:t>“全方位”关怀，传递信心、爱心和暖心。全体学管队伍立足岗位，主动作为，化身多重角色，“全方位”关怀学生，助力学生成长成才。坚持以生为本，以立德树人、德育为先为宗旨，不断完善学生思想政治教育工作机制，优化“全员育人</w:t>
      </w:r>
      <w:r>
        <w:rPr>
          <w:rFonts w:hint="eastAsia" w:ascii="仿宋" w:hAnsi="仿宋"/>
          <w:szCs w:val="32"/>
        </w:rPr>
        <w:t>、全过程育人、全方位育人”三全育人措施，汇聚“课程育人、科研育人、实践育人、文化育人、网络育人、心理育人、管理育人、服务育人、资助育人、组织育人”十大育人合力，努力服务学生成长成才。</w:t>
      </w:r>
    </w:p>
    <w:p>
      <w:pPr>
        <w:autoSpaceDE w:val="0"/>
        <w:autoSpaceDN w:val="0"/>
        <w:spacing w:before="190"/>
        <w:ind w:left="936" w:firstLine="640" w:firstLineChars="200"/>
        <w:jc w:val="left"/>
        <w:rPr>
          <w:rFonts w:ascii="仿宋" w:hAnsi="仿宋"/>
          <w:szCs w:val="32"/>
        </w:rPr>
      </w:pPr>
      <w:r>
        <w:rPr>
          <w:rFonts w:hint="eastAsia" w:ascii="仿宋" w:hAnsi="仿宋"/>
          <w:szCs w:val="32"/>
        </w:rPr>
        <w:t>去年，</w:t>
      </w:r>
      <w:r>
        <w:rPr>
          <w:rFonts w:ascii="仿宋" w:hAnsi="仿宋"/>
          <w:szCs w:val="32"/>
        </w:rPr>
        <w:t>学院戏剧系被立项为湖南省第二批“三全育人”综合改革试点院（系）。建设周期为2020年8月至2022年7月。</w:t>
      </w:r>
    </w:p>
    <w:p>
      <w:pPr>
        <w:pStyle w:val="4"/>
        <w:rPr>
          <w:b w:val="0"/>
          <w:bCs w:val="0"/>
        </w:rPr>
      </w:pPr>
      <w:bookmarkStart w:id="23" w:name="_Toc27610"/>
      <w:r>
        <w:rPr>
          <w:rFonts w:hint="eastAsia"/>
          <w:b w:val="0"/>
          <w:bCs w:val="0"/>
        </w:rPr>
        <w:t>2</w:t>
      </w:r>
      <w:r>
        <w:rPr>
          <w:b w:val="0"/>
          <w:bCs w:val="0"/>
        </w:rPr>
        <w:t>.1.3</w:t>
      </w:r>
      <w:r>
        <w:rPr>
          <w:rFonts w:hint="eastAsia"/>
          <w:b w:val="0"/>
          <w:bCs w:val="0"/>
        </w:rPr>
        <w:t>劳动教育</w:t>
      </w:r>
      <w:bookmarkEnd w:id="23"/>
    </w:p>
    <w:p>
      <w:pPr>
        <w:autoSpaceDE w:val="0"/>
        <w:autoSpaceDN w:val="0"/>
        <w:spacing w:before="190"/>
        <w:ind w:left="936" w:firstLine="640" w:firstLineChars="200"/>
        <w:jc w:val="left"/>
        <w:rPr>
          <w:rFonts w:ascii="仿宋" w:hAnsi="仿宋"/>
          <w:szCs w:val="32"/>
        </w:rPr>
      </w:pPr>
      <w:r>
        <w:rPr>
          <w:rFonts w:hint="eastAsia" w:ascii="仿宋" w:hAnsi="仿宋"/>
          <w:szCs w:val="32"/>
        </w:rPr>
        <w:t>学院深入贯彻习近平总书记关于教育的重要论述，全面贯彻党的教育方针，全面落实《中共中央国务院关于全面加强新时代大中小学劳动教育的意见》《大中小学劳动教育指导纲要（试行）》。我院还制订落实《湖南艺术职业学院劳动教育课程实施办法》，将劳动教育纳入人才培养计划，制定详细教学计划，优选课程教材，课程性质为必修课，共计</w:t>
      </w:r>
      <w:r>
        <w:rPr>
          <w:rFonts w:ascii="仿宋" w:hAnsi="仿宋"/>
          <w:szCs w:val="32"/>
        </w:rPr>
        <w:t>2学分</w:t>
      </w:r>
      <w:r>
        <w:rPr>
          <w:rFonts w:hint="eastAsia" w:ascii="仿宋" w:hAnsi="仿宋"/>
          <w:szCs w:val="32"/>
        </w:rPr>
        <w:t>，引导学生崇尚劳动、尊重劳动。学院还设立劳动教育校园责任卫生区，建立了多个校内劳动教育实践基地。</w:t>
      </w:r>
    </w:p>
    <w:p>
      <w:pPr>
        <w:pStyle w:val="4"/>
        <w:rPr>
          <w:b w:val="0"/>
          <w:bCs w:val="0"/>
        </w:rPr>
      </w:pPr>
      <w:bookmarkStart w:id="24" w:name="_Toc12480"/>
      <w:r>
        <w:rPr>
          <w:rFonts w:hint="eastAsia"/>
          <w:b w:val="0"/>
          <w:bCs w:val="0"/>
        </w:rPr>
        <w:t>2</w:t>
      </w:r>
      <w:r>
        <w:rPr>
          <w:b w:val="0"/>
          <w:bCs w:val="0"/>
        </w:rPr>
        <w:t>.1.4</w:t>
      </w:r>
      <w:r>
        <w:rPr>
          <w:rFonts w:hint="eastAsia"/>
          <w:b w:val="0"/>
          <w:bCs w:val="0"/>
        </w:rPr>
        <w:t>工匠精神培育和传承</w:t>
      </w:r>
      <w:bookmarkEnd w:id="24"/>
    </w:p>
    <w:p>
      <w:pPr>
        <w:autoSpaceDE w:val="0"/>
        <w:autoSpaceDN w:val="0"/>
        <w:spacing w:before="190"/>
        <w:ind w:left="936" w:firstLine="640" w:firstLineChars="200"/>
        <w:jc w:val="left"/>
        <w:rPr>
          <w:rFonts w:ascii="仿宋" w:hAnsi="仿宋"/>
          <w:szCs w:val="32"/>
        </w:rPr>
      </w:pPr>
      <w:r>
        <w:rPr>
          <w:rFonts w:hint="eastAsia" w:ascii="仿宋" w:hAnsi="仿宋"/>
          <w:szCs w:val="32"/>
        </w:rPr>
        <w:t>学院致力于培育“湖湘工匠”，并将工匠精神培</w:t>
      </w:r>
      <w:r>
        <w:rPr>
          <w:rFonts w:hint="eastAsia" w:ascii="仿宋" w:hAnsi="仿宋"/>
          <w:w w:val="95"/>
          <w:szCs w:val="32"/>
        </w:rPr>
        <w:t>养融入到教育教学的全过程，全面提升人才培养质量。</w:t>
      </w:r>
    </w:p>
    <w:p>
      <w:pPr>
        <w:autoSpaceDE w:val="0"/>
        <w:autoSpaceDN w:val="0"/>
        <w:spacing w:before="190"/>
        <w:ind w:left="936"/>
        <w:jc w:val="left"/>
        <w:rPr>
          <w:rFonts w:ascii="楷体" w:hAnsi="楷体" w:eastAsia="楷体"/>
          <w:b/>
          <w:bCs/>
          <w:sz w:val="28"/>
          <w:szCs w:val="28"/>
        </w:rPr>
      </w:pPr>
      <w:r>
        <w:rPr>
          <w:rFonts w:hint="eastAsia" w:ascii="楷体" w:hAnsi="楷体" w:eastAsia="楷体"/>
          <w:b/>
          <w:bCs/>
          <w:sz w:val="28"/>
          <w:szCs w:val="28"/>
        </w:rPr>
        <w:t>【典型案例2</w:t>
      </w:r>
      <w:r>
        <w:rPr>
          <w:rFonts w:ascii="楷体" w:hAnsi="楷体" w:eastAsia="楷体"/>
          <w:b/>
          <w:bCs/>
          <w:sz w:val="28"/>
          <w:szCs w:val="28"/>
        </w:rPr>
        <w:t>-1</w:t>
      </w:r>
      <w:r>
        <w:rPr>
          <w:rFonts w:hint="eastAsia" w:ascii="楷体" w:hAnsi="楷体" w:eastAsia="楷体"/>
          <w:b/>
          <w:bCs/>
          <w:sz w:val="28"/>
          <w:szCs w:val="28"/>
        </w:rPr>
        <w:t>】“刘胄文物修复工作室”入选省直劳模和工匠人才创新工作室</w:t>
      </w:r>
    </w:p>
    <w:p>
      <w:pPr>
        <w:autoSpaceDE w:val="0"/>
        <w:autoSpaceDN w:val="0"/>
        <w:spacing w:before="190"/>
        <w:ind w:left="936" w:firstLine="560" w:firstLineChars="200"/>
        <w:jc w:val="left"/>
        <w:rPr>
          <w:rFonts w:ascii="楷体" w:hAnsi="楷体" w:eastAsia="楷体"/>
          <w:sz w:val="28"/>
          <w:szCs w:val="28"/>
        </w:rPr>
      </w:pPr>
      <w:r>
        <w:rPr>
          <w:rFonts w:ascii="楷体" w:hAnsi="楷体" w:eastAsia="楷体"/>
          <w:sz w:val="28"/>
          <w:szCs w:val="28"/>
        </w:rPr>
        <w:t>“刘胄文物修复工作室”</w:t>
      </w:r>
      <w:r>
        <w:rPr>
          <w:rFonts w:hint="eastAsia" w:ascii="楷体" w:hAnsi="楷体" w:eastAsia="楷体"/>
          <w:sz w:val="28"/>
          <w:szCs w:val="28"/>
        </w:rPr>
        <w:t>是</w:t>
      </w:r>
      <w:r>
        <w:rPr>
          <w:rFonts w:ascii="楷体" w:hAnsi="楷体" w:eastAsia="楷体"/>
          <w:sz w:val="28"/>
          <w:szCs w:val="28"/>
        </w:rPr>
        <w:t>以</w:t>
      </w:r>
      <w:r>
        <w:rPr>
          <w:rFonts w:hint="eastAsia" w:ascii="楷体" w:hAnsi="楷体" w:eastAsia="楷体"/>
          <w:sz w:val="28"/>
          <w:szCs w:val="28"/>
        </w:rPr>
        <w:t>学院</w:t>
      </w:r>
      <w:r>
        <w:rPr>
          <w:rFonts w:ascii="楷体" w:hAnsi="楷体" w:eastAsia="楷体"/>
          <w:sz w:val="28"/>
          <w:szCs w:val="28"/>
        </w:rPr>
        <w:t>文旅系青年教师刘胄的祖传老店“谦吉祥·文物修复中心”为基础，</w:t>
      </w:r>
      <w:r>
        <w:rPr>
          <w:rFonts w:hint="eastAsia" w:ascii="楷体" w:hAnsi="楷体" w:eastAsia="楷体"/>
          <w:sz w:val="28"/>
          <w:szCs w:val="28"/>
        </w:rPr>
        <w:t>历经</w:t>
      </w:r>
      <w:r>
        <w:rPr>
          <w:rFonts w:ascii="楷体" w:hAnsi="楷体" w:eastAsia="楷体"/>
          <w:sz w:val="28"/>
          <w:szCs w:val="28"/>
        </w:rPr>
        <w:t>四代文物修复师传承，目前有刘胄、曲新楠、江倩、彭二珂等专业骨干教师。</w:t>
      </w:r>
      <w:r>
        <w:rPr>
          <w:rFonts w:hint="eastAsia" w:ascii="楷体" w:hAnsi="楷体" w:eastAsia="楷体"/>
          <w:sz w:val="28"/>
          <w:szCs w:val="28"/>
        </w:rPr>
        <w:t>目前，</w:t>
      </w:r>
      <w:r>
        <w:rPr>
          <w:rFonts w:ascii="楷体" w:hAnsi="楷体" w:eastAsia="楷体"/>
          <w:sz w:val="28"/>
          <w:szCs w:val="28"/>
        </w:rPr>
        <w:t>工作室依托学院文旅系文物修复与保护专业，高质量完成文物修复和复制教学任务，并在原有基础上建好建强省内唯一的商业金属类文物修复中心。</w:t>
      </w:r>
    </w:p>
    <w:p>
      <w:pPr>
        <w:autoSpaceDE w:val="0"/>
        <w:autoSpaceDN w:val="0"/>
        <w:spacing w:before="190"/>
        <w:ind w:left="936" w:firstLine="560" w:firstLineChars="200"/>
        <w:jc w:val="left"/>
        <w:rPr>
          <w:rFonts w:ascii="楷体" w:hAnsi="楷体" w:eastAsia="楷体"/>
          <w:sz w:val="28"/>
          <w:szCs w:val="28"/>
        </w:rPr>
      </w:pPr>
      <w:r>
        <w:rPr>
          <w:rFonts w:hint="eastAsia" w:ascii="楷体" w:hAnsi="楷体" w:eastAsia="楷体"/>
          <w:sz w:val="28"/>
          <w:szCs w:val="28"/>
        </w:rPr>
        <w:t>2</w:t>
      </w:r>
      <w:r>
        <w:rPr>
          <w:rFonts w:ascii="楷体" w:hAnsi="楷体" w:eastAsia="楷体"/>
          <w:sz w:val="28"/>
          <w:szCs w:val="28"/>
        </w:rPr>
        <w:t>021</w:t>
      </w:r>
      <w:r>
        <w:rPr>
          <w:rFonts w:hint="eastAsia" w:ascii="楷体" w:hAnsi="楷体" w:eastAsia="楷体"/>
          <w:sz w:val="28"/>
          <w:szCs w:val="28"/>
        </w:rPr>
        <w:t>年，由湖南省直属机关工会委员会评审的省直劳模和工匠人才创新工作室公布名单，我院文旅系“刘胄文物修</w:t>
      </w:r>
      <w:r>
        <w:rPr>
          <w:rFonts w:hint="eastAsia" w:ascii="楷体" w:hAnsi="楷体" w:eastAsia="楷体"/>
          <w:w w:val="93"/>
          <w:sz w:val="28"/>
          <w:szCs w:val="28"/>
        </w:rPr>
        <w:t>复工作室”经省文旅厅选报入列，此次全省仅</w:t>
      </w:r>
      <w:r>
        <w:rPr>
          <w:rFonts w:ascii="楷体" w:hAnsi="楷体" w:eastAsia="楷体"/>
          <w:w w:val="93"/>
          <w:sz w:val="28"/>
          <w:szCs w:val="28"/>
        </w:rPr>
        <w:t>20个工作室入选。</w:t>
      </w:r>
    </w:p>
    <w:p>
      <w:pPr>
        <w:pStyle w:val="3"/>
      </w:pPr>
      <w:bookmarkStart w:id="25" w:name="_Toc25822"/>
      <w:r>
        <w:rPr>
          <w:rFonts w:hint="eastAsia"/>
        </w:rPr>
        <w:t>2</w:t>
      </w:r>
      <w:r>
        <w:t>.2</w:t>
      </w:r>
      <w:r>
        <w:rPr>
          <w:rFonts w:hint="eastAsia"/>
        </w:rPr>
        <w:t>专业群建设</w:t>
      </w:r>
      <w:bookmarkEnd w:id="25"/>
    </w:p>
    <w:p>
      <w:pPr>
        <w:pStyle w:val="4"/>
        <w:rPr>
          <w:b w:val="0"/>
          <w:bCs w:val="0"/>
        </w:rPr>
      </w:pPr>
      <w:bookmarkStart w:id="26" w:name="_Toc22085"/>
      <w:r>
        <w:rPr>
          <w:rFonts w:hint="eastAsia"/>
          <w:b w:val="0"/>
          <w:bCs w:val="0"/>
        </w:rPr>
        <w:t>2</w:t>
      </w:r>
      <w:r>
        <w:rPr>
          <w:b w:val="0"/>
          <w:bCs w:val="0"/>
        </w:rPr>
        <w:t>.2.1</w:t>
      </w:r>
      <w:r>
        <w:rPr>
          <w:rFonts w:hint="eastAsia"/>
          <w:b w:val="0"/>
          <w:bCs w:val="0"/>
        </w:rPr>
        <w:t>优化调整专业结构</w:t>
      </w:r>
      <w:bookmarkEnd w:id="26"/>
    </w:p>
    <w:p>
      <w:pPr>
        <w:autoSpaceDE w:val="0"/>
        <w:autoSpaceDN w:val="0"/>
        <w:spacing w:before="190"/>
        <w:ind w:left="936" w:firstLine="640" w:firstLineChars="200"/>
        <w:jc w:val="left"/>
        <w:rPr>
          <w:rFonts w:ascii="宋体" w:hAnsi="宋体" w:eastAsia="宋体" w:cs="宋体"/>
          <w:kern w:val="0"/>
          <w:sz w:val="24"/>
          <w:szCs w:val="24"/>
        </w:rPr>
      </w:pPr>
      <w:r>
        <w:rPr>
          <w:rFonts w:hint="eastAsia" w:ascii="仿宋" w:hAnsi="仿宋"/>
          <w:szCs w:val="32"/>
        </w:rPr>
        <w:t>当前，学院设置了以表演艺术类专业为核心的29个专业，主要涵盖艺术设计传媒和旅游两大类；以表演艺术专业为特色，以戏剧、音乐、舞蹈、美术、影视、播音主持等专业为优势，打造了以表演艺术专业群、艺术设计专业群、广播影视专业群、艺术教育与文化旅游专业群为核心的4个专业集群。</w:t>
      </w:r>
    </w:p>
    <w:p>
      <w:pPr>
        <w:autoSpaceDE w:val="0"/>
        <w:autoSpaceDN w:val="0"/>
        <w:jc w:val="center"/>
        <w:rPr>
          <w:rFonts w:ascii="楷体" w:hAnsi="楷体" w:eastAsia="楷体" w:cs="宋体"/>
          <w:b/>
          <w:bCs/>
          <w:kern w:val="0"/>
          <w:sz w:val="28"/>
          <w:szCs w:val="28"/>
        </w:rPr>
      </w:pPr>
      <w:r>
        <w:rPr>
          <w:rFonts w:hint="eastAsia" w:ascii="楷体" w:hAnsi="楷体" w:eastAsia="楷体" w:cs="宋体"/>
          <w:b/>
          <w:bCs/>
          <w:kern w:val="0"/>
          <w:sz w:val="28"/>
          <w:szCs w:val="28"/>
        </w:rPr>
        <w:t>表</w:t>
      </w:r>
      <w:r>
        <w:rPr>
          <w:rFonts w:ascii="楷体" w:hAnsi="楷体" w:eastAsia="楷体" w:cs="宋体"/>
          <w:b/>
          <w:bCs/>
          <w:kern w:val="0"/>
          <w:sz w:val="28"/>
          <w:szCs w:val="28"/>
        </w:rPr>
        <w:t xml:space="preserve">2-1 </w:t>
      </w:r>
      <w:r>
        <w:rPr>
          <w:rFonts w:hint="eastAsia" w:ascii="楷体" w:hAnsi="楷体" w:eastAsia="楷体" w:cs="宋体"/>
          <w:b/>
          <w:bCs/>
          <w:kern w:val="0"/>
          <w:sz w:val="28"/>
          <w:szCs w:val="28"/>
        </w:rPr>
        <w:t>湖南艺术职业学院开设高职专业一览表（2021）</w:t>
      </w:r>
    </w:p>
    <w:tbl>
      <w:tblPr>
        <w:tblStyle w:val="12"/>
        <w:tblW w:w="8562" w:type="dxa"/>
        <w:jc w:val="cente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
      <w:tblGrid>
        <w:gridCol w:w="959"/>
        <w:gridCol w:w="709"/>
        <w:gridCol w:w="3251"/>
        <w:gridCol w:w="1602"/>
        <w:gridCol w:w="2041"/>
      </w:tblGrid>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tcBorders>
              <w:top w:val="single" w:color="5B9BD5" w:sz="4" w:space="0"/>
              <w:left w:val="single" w:color="5B9BD5" w:sz="4" w:space="0"/>
              <w:bottom w:val="single" w:color="5B9BD5" w:sz="4" w:space="0"/>
              <w:right w:val="nil"/>
            </w:tcBorders>
            <w:shd w:val="clear" w:color="auto" w:fill="5B9BD5"/>
            <w:vAlign w:val="center"/>
          </w:tcPr>
          <w:p>
            <w:pPr>
              <w:autoSpaceDE w:val="0"/>
              <w:autoSpaceDN w:val="0"/>
              <w:jc w:val="center"/>
              <w:rPr>
                <w:rFonts w:ascii="宋体" w:hAnsi="宋体" w:eastAsia="宋体"/>
                <w:b/>
                <w:bCs/>
                <w:color w:val="FFFFFF"/>
                <w:kern w:val="0"/>
                <w:sz w:val="24"/>
                <w:szCs w:val="24"/>
              </w:rPr>
            </w:pPr>
            <w:r>
              <w:rPr>
                <w:rFonts w:hint="eastAsia" w:ascii="宋体" w:hAnsi="宋体" w:eastAsia="宋体"/>
                <w:b/>
                <w:bCs/>
                <w:color w:val="FFFFFF"/>
                <w:kern w:val="0"/>
                <w:sz w:val="24"/>
                <w:szCs w:val="24"/>
              </w:rPr>
              <w:t>专业系</w:t>
            </w:r>
          </w:p>
        </w:tc>
        <w:tc>
          <w:tcPr>
            <w:tcW w:w="709" w:type="dxa"/>
            <w:tcBorders>
              <w:top w:val="single" w:color="5B9BD5" w:sz="4" w:space="0"/>
              <w:left w:val="nil"/>
              <w:bottom w:val="single" w:color="5B9BD5" w:sz="4" w:space="0"/>
              <w:right w:val="nil"/>
            </w:tcBorders>
            <w:shd w:val="clear" w:color="auto" w:fill="5B9BD5"/>
          </w:tcPr>
          <w:p>
            <w:pPr>
              <w:autoSpaceDE w:val="0"/>
              <w:autoSpaceDN w:val="0"/>
              <w:jc w:val="center"/>
              <w:rPr>
                <w:rFonts w:ascii="宋体" w:hAnsi="宋体" w:eastAsia="宋体"/>
                <w:b/>
                <w:bCs/>
                <w:color w:val="FFFFFF"/>
                <w:kern w:val="0"/>
                <w:sz w:val="24"/>
                <w:szCs w:val="24"/>
              </w:rPr>
            </w:pPr>
            <w:r>
              <w:rPr>
                <w:rFonts w:hint="eastAsia" w:ascii="宋体" w:hAnsi="宋体" w:eastAsia="宋体"/>
                <w:b/>
                <w:bCs/>
                <w:color w:val="FFFFFF"/>
                <w:kern w:val="0"/>
                <w:sz w:val="24"/>
                <w:szCs w:val="24"/>
              </w:rPr>
              <w:t>序号</w:t>
            </w:r>
          </w:p>
        </w:tc>
        <w:tc>
          <w:tcPr>
            <w:tcW w:w="3251" w:type="dxa"/>
            <w:tcBorders>
              <w:top w:val="single" w:color="5B9BD5" w:sz="4" w:space="0"/>
              <w:left w:val="nil"/>
              <w:bottom w:val="single" w:color="5B9BD5" w:sz="4" w:space="0"/>
              <w:right w:val="nil"/>
            </w:tcBorders>
            <w:shd w:val="clear" w:color="auto" w:fill="5B9BD5"/>
          </w:tcPr>
          <w:p>
            <w:pPr>
              <w:autoSpaceDE w:val="0"/>
              <w:autoSpaceDN w:val="0"/>
              <w:jc w:val="center"/>
              <w:rPr>
                <w:rFonts w:ascii="宋体" w:hAnsi="宋体" w:eastAsia="宋体"/>
                <w:b/>
                <w:bCs/>
                <w:color w:val="FFFFFF"/>
                <w:kern w:val="0"/>
                <w:sz w:val="24"/>
                <w:szCs w:val="24"/>
              </w:rPr>
            </w:pPr>
            <w:r>
              <w:rPr>
                <w:rFonts w:hint="eastAsia" w:ascii="宋体" w:hAnsi="宋体" w:eastAsia="宋体"/>
                <w:b/>
                <w:bCs/>
                <w:color w:val="FFFFFF"/>
                <w:kern w:val="0"/>
                <w:sz w:val="24"/>
                <w:szCs w:val="24"/>
              </w:rPr>
              <w:t>专业名称</w:t>
            </w:r>
          </w:p>
        </w:tc>
        <w:tc>
          <w:tcPr>
            <w:tcW w:w="1602" w:type="dxa"/>
            <w:tcBorders>
              <w:top w:val="single" w:color="5B9BD5" w:sz="4" w:space="0"/>
              <w:left w:val="nil"/>
              <w:bottom w:val="single" w:color="5B9BD5" w:sz="4" w:space="0"/>
              <w:right w:val="nil"/>
            </w:tcBorders>
            <w:shd w:val="clear" w:color="auto" w:fill="5B9BD5"/>
          </w:tcPr>
          <w:p>
            <w:pPr>
              <w:autoSpaceDE w:val="0"/>
              <w:autoSpaceDN w:val="0"/>
              <w:jc w:val="center"/>
              <w:rPr>
                <w:rFonts w:ascii="宋体" w:hAnsi="宋体" w:eastAsia="宋体"/>
                <w:b/>
                <w:bCs/>
                <w:color w:val="FFFFFF"/>
                <w:kern w:val="0"/>
                <w:sz w:val="24"/>
                <w:szCs w:val="24"/>
              </w:rPr>
            </w:pPr>
            <w:r>
              <w:rPr>
                <w:rFonts w:hint="eastAsia" w:ascii="宋体" w:hAnsi="宋体" w:eastAsia="宋体"/>
                <w:b/>
                <w:bCs/>
                <w:color w:val="FFFFFF"/>
                <w:kern w:val="0"/>
                <w:sz w:val="24"/>
                <w:szCs w:val="24"/>
              </w:rPr>
              <w:t>专业代码</w:t>
            </w:r>
          </w:p>
        </w:tc>
        <w:tc>
          <w:tcPr>
            <w:tcW w:w="2041" w:type="dxa"/>
            <w:tcBorders>
              <w:top w:val="single" w:color="5B9BD5" w:sz="4" w:space="0"/>
              <w:left w:val="nil"/>
              <w:bottom w:val="single" w:color="5B9BD5" w:sz="4" w:space="0"/>
              <w:right w:val="single" w:color="5B9BD5" w:sz="4" w:space="0"/>
            </w:tcBorders>
            <w:shd w:val="clear" w:color="auto" w:fill="5B9BD5"/>
          </w:tcPr>
          <w:p>
            <w:pPr>
              <w:autoSpaceDE w:val="0"/>
              <w:autoSpaceDN w:val="0"/>
              <w:jc w:val="center"/>
              <w:rPr>
                <w:rFonts w:ascii="宋体" w:hAnsi="宋体" w:eastAsia="宋体"/>
                <w:b/>
                <w:bCs/>
                <w:color w:val="FFFFFF"/>
                <w:kern w:val="0"/>
                <w:sz w:val="24"/>
                <w:szCs w:val="24"/>
              </w:rPr>
            </w:pPr>
            <w:r>
              <w:rPr>
                <w:rFonts w:hint="eastAsia" w:ascii="宋体" w:hAnsi="宋体" w:eastAsia="宋体"/>
                <w:b/>
                <w:bCs/>
                <w:color w:val="FFFFFF"/>
                <w:kern w:val="0"/>
                <w:sz w:val="24"/>
                <w:szCs w:val="24"/>
              </w:rPr>
              <w:t>所属专业大类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209" w:hRule="atLeast"/>
          <w:jc w:val="center"/>
        </w:trPr>
        <w:tc>
          <w:tcPr>
            <w:tcW w:w="959" w:type="dxa"/>
            <w:vMerge w:val="restart"/>
            <w:shd w:val="clear" w:color="auto" w:fill="DEEAF6"/>
            <w:vAlign w:val="center"/>
          </w:tcPr>
          <w:p>
            <w:pPr>
              <w:autoSpaceDE w:val="0"/>
              <w:autoSpaceDN w:val="0"/>
              <w:jc w:val="center"/>
              <w:rPr>
                <w:rFonts w:ascii="宋体" w:hAnsi="宋体" w:eastAsia="宋体"/>
                <w:b/>
                <w:bCs/>
                <w:kern w:val="0"/>
                <w:sz w:val="24"/>
                <w:szCs w:val="24"/>
              </w:rPr>
            </w:pPr>
            <w:r>
              <w:rPr>
                <w:rFonts w:hint="eastAsia" w:ascii="宋体" w:hAnsi="宋体" w:eastAsia="宋体"/>
                <w:b/>
                <w:bCs/>
                <w:kern w:val="0"/>
                <w:sz w:val="24"/>
                <w:szCs w:val="24"/>
              </w:rPr>
              <w:t>戏剧系</w:t>
            </w: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戏曲表演</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550203</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音乐剧表演</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550208</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3</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戏剧影视表演</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550205</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4</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戏曲音乐</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550211</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restart"/>
            <w:shd w:val="clear" w:color="auto" w:fill="DEEAF6"/>
            <w:vAlign w:val="center"/>
          </w:tcPr>
          <w:p>
            <w:pPr>
              <w:autoSpaceDE w:val="0"/>
              <w:autoSpaceDN w:val="0"/>
              <w:jc w:val="center"/>
              <w:rPr>
                <w:rFonts w:ascii="宋体" w:hAnsi="宋体" w:eastAsia="宋体"/>
                <w:b/>
                <w:bCs/>
                <w:kern w:val="0"/>
                <w:sz w:val="24"/>
                <w:szCs w:val="24"/>
              </w:rPr>
            </w:pPr>
            <w:r>
              <w:rPr>
                <w:rFonts w:hint="eastAsia" w:ascii="宋体" w:hAnsi="宋体" w:eastAsia="宋体"/>
                <w:b/>
                <w:bCs/>
                <w:kern w:val="0"/>
                <w:sz w:val="24"/>
                <w:szCs w:val="24"/>
              </w:rPr>
              <w:t>音乐系</w:t>
            </w: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音乐表演</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550201</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6</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音乐制作</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550212</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7</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钢琴调律</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550214</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restart"/>
            <w:shd w:val="clear" w:color="auto" w:fill="auto"/>
            <w:vAlign w:val="center"/>
          </w:tcPr>
          <w:p>
            <w:pPr>
              <w:autoSpaceDE w:val="0"/>
              <w:autoSpaceDN w:val="0"/>
              <w:jc w:val="center"/>
              <w:rPr>
                <w:rFonts w:ascii="宋体" w:hAnsi="宋体" w:eastAsia="宋体"/>
                <w:b/>
                <w:bCs/>
                <w:kern w:val="0"/>
                <w:sz w:val="24"/>
                <w:szCs w:val="24"/>
              </w:rPr>
            </w:pPr>
            <w:r>
              <w:rPr>
                <w:rFonts w:hint="eastAsia" w:ascii="宋体" w:hAnsi="宋体" w:eastAsia="宋体"/>
                <w:b/>
                <w:bCs/>
                <w:kern w:val="0"/>
                <w:sz w:val="24"/>
                <w:szCs w:val="24"/>
              </w:rPr>
              <w:t>舞蹈系</w:t>
            </w: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8</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舞蹈表演</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550202</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9</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国际标准舞（2020）</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550209</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restart"/>
            <w:shd w:val="clear" w:color="auto" w:fill="auto"/>
            <w:vAlign w:val="center"/>
          </w:tcPr>
          <w:p>
            <w:pPr>
              <w:autoSpaceDE w:val="0"/>
              <w:autoSpaceDN w:val="0"/>
              <w:jc w:val="center"/>
              <w:rPr>
                <w:rFonts w:ascii="宋体" w:hAnsi="宋体" w:eastAsia="宋体"/>
                <w:b/>
                <w:bCs/>
                <w:kern w:val="0"/>
                <w:sz w:val="24"/>
                <w:szCs w:val="24"/>
              </w:rPr>
            </w:pPr>
            <w:r>
              <w:rPr>
                <w:rFonts w:hint="eastAsia" w:ascii="宋体" w:hAnsi="宋体" w:eastAsia="宋体"/>
                <w:b/>
                <w:bCs/>
                <w:kern w:val="0"/>
                <w:sz w:val="24"/>
                <w:szCs w:val="24"/>
              </w:rPr>
              <w:t>美术系</w:t>
            </w: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10</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产品艺术设计</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550104</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11</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人物形象设计</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550117</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12</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环境艺术设计</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550106</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13</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数字媒体艺术设计</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550103</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14</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舞台艺术设计与制作</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550218</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15</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影视照明技术与艺术</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560209</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新闻传播大类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16</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广告艺术设计</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550113</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restart"/>
            <w:shd w:val="clear" w:color="auto" w:fill="DEEAF6"/>
            <w:vAlign w:val="center"/>
          </w:tcPr>
          <w:p>
            <w:pPr>
              <w:autoSpaceDE w:val="0"/>
              <w:autoSpaceDN w:val="0"/>
              <w:jc w:val="center"/>
              <w:rPr>
                <w:rFonts w:ascii="宋体" w:hAnsi="宋体" w:eastAsia="宋体"/>
                <w:b/>
                <w:bCs/>
                <w:kern w:val="0"/>
                <w:sz w:val="24"/>
                <w:szCs w:val="24"/>
              </w:rPr>
            </w:pPr>
            <w:r>
              <w:rPr>
                <w:rFonts w:hint="eastAsia" w:ascii="宋体" w:hAnsi="宋体" w:eastAsia="宋体"/>
                <w:b/>
                <w:bCs/>
                <w:kern w:val="0"/>
                <w:sz w:val="24"/>
                <w:szCs w:val="24"/>
              </w:rPr>
              <w:t>影视系</w:t>
            </w: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17</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摄影摄像技术</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560212</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新闻传播大类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18</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影视编导</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560204</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新闻传播大类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19</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影视动画</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560206</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新闻传播大类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20</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新闻采编与制作</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560205</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新闻传播大类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21</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广播影视节目制作</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560202</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新闻传播大类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22</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影视多媒体技术</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560208</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新闻传播大类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23</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播音与主持</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560201</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新闻传播大类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restart"/>
            <w:shd w:val="clear" w:color="auto" w:fill="auto"/>
            <w:vAlign w:val="center"/>
          </w:tcPr>
          <w:p>
            <w:pPr>
              <w:autoSpaceDE w:val="0"/>
              <w:autoSpaceDN w:val="0"/>
              <w:jc w:val="center"/>
              <w:rPr>
                <w:rFonts w:ascii="宋体" w:hAnsi="宋体" w:eastAsia="宋体"/>
                <w:b/>
                <w:bCs/>
                <w:kern w:val="0"/>
                <w:sz w:val="24"/>
                <w:szCs w:val="24"/>
              </w:rPr>
            </w:pPr>
            <w:r>
              <w:rPr>
                <w:rFonts w:hint="eastAsia" w:ascii="宋体" w:hAnsi="宋体" w:eastAsia="宋体"/>
                <w:b/>
                <w:bCs/>
                <w:kern w:val="0"/>
                <w:sz w:val="24"/>
                <w:szCs w:val="24"/>
              </w:rPr>
              <w:t>文旅系</w:t>
            </w: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24</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酒店管理与数字化运营</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540106</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旅游大类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25</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空中乘务</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500405</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交通运输大类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26</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文化产业经营与管理</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550402</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27</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文物修复与保护</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550404</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auto"/>
            <w:vAlign w:val="center"/>
          </w:tcPr>
          <w:p>
            <w:pPr>
              <w:widowControl/>
              <w:jc w:val="center"/>
              <w:rPr>
                <w:rFonts w:ascii="宋体" w:hAnsi="宋体" w:eastAsia="宋体"/>
                <w:b/>
                <w:bCs/>
                <w:kern w:val="0"/>
                <w:sz w:val="24"/>
                <w:szCs w:val="24"/>
              </w:rPr>
            </w:pPr>
          </w:p>
        </w:tc>
        <w:tc>
          <w:tcPr>
            <w:tcW w:w="709"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28</w:t>
            </w:r>
          </w:p>
        </w:tc>
        <w:tc>
          <w:tcPr>
            <w:tcW w:w="32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公共文化服务与管理</w:t>
            </w:r>
          </w:p>
        </w:tc>
        <w:tc>
          <w:tcPr>
            <w:tcW w:w="160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550403</w:t>
            </w:r>
          </w:p>
        </w:tc>
        <w:tc>
          <w:tcPr>
            <w:tcW w:w="204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文化艺术大类</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361" w:hRule="atLeast"/>
          <w:jc w:val="center"/>
        </w:trPr>
        <w:tc>
          <w:tcPr>
            <w:tcW w:w="959" w:type="dxa"/>
            <w:vMerge w:val="continue"/>
            <w:shd w:val="clear" w:color="auto" w:fill="DEEAF6"/>
            <w:vAlign w:val="center"/>
          </w:tcPr>
          <w:p>
            <w:pPr>
              <w:widowControl/>
              <w:jc w:val="center"/>
              <w:rPr>
                <w:rFonts w:ascii="宋体" w:hAnsi="宋体" w:eastAsia="宋体"/>
                <w:b/>
                <w:bCs/>
                <w:kern w:val="0"/>
                <w:sz w:val="24"/>
                <w:szCs w:val="24"/>
              </w:rPr>
            </w:pPr>
          </w:p>
        </w:tc>
        <w:tc>
          <w:tcPr>
            <w:tcW w:w="709"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29</w:t>
            </w:r>
          </w:p>
        </w:tc>
        <w:tc>
          <w:tcPr>
            <w:tcW w:w="325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艺术教育（2020）</w:t>
            </w:r>
          </w:p>
        </w:tc>
        <w:tc>
          <w:tcPr>
            <w:tcW w:w="1602"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570113k</w:t>
            </w:r>
          </w:p>
        </w:tc>
        <w:tc>
          <w:tcPr>
            <w:tcW w:w="2041" w:type="dxa"/>
            <w:shd w:val="clear" w:color="auto" w:fill="DEEAF6"/>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教育与体育大类</w:t>
            </w:r>
          </w:p>
        </w:tc>
      </w:tr>
    </w:tbl>
    <w:p>
      <w:pPr>
        <w:jc w:val="right"/>
        <w:rPr>
          <w:rFonts w:ascii="楷体" w:hAnsi="楷体" w:eastAsia="楷体"/>
          <w:sz w:val="24"/>
          <w:szCs w:val="24"/>
        </w:rPr>
      </w:pPr>
      <w:r>
        <w:rPr>
          <w:rFonts w:hint="eastAsia" w:ascii="楷体" w:hAnsi="楷体" w:eastAsia="楷体"/>
          <w:sz w:val="24"/>
          <w:szCs w:val="24"/>
        </w:rPr>
        <w:t>数据来源：湖南艺术职业学院教务处</w:t>
      </w:r>
    </w:p>
    <w:p>
      <w:pPr>
        <w:pStyle w:val="4"/>
        <w:rPr>
          <w:b w:val="0"/>
          <w:bCs w:val="0"/>
        </w:rPr>
      </w:pPr>
      <w:bookmarkStart w:id="27" w:name="_Toc22078"/>
      <w:r>
        <w:rPr>
          <w:rFonts w:hint="eastAsia"/>
          <w:b w:val="0"/>
          <w:bCs w:val="0"/>
        </w:rPr>
        <w:t>2</w:t>
      </w:r>
      <w:r>
        <w:rPr>
          <w:b w:val="0"/>
          <w:bCs w:val="0"/>
        </w:rPr>
        <w:t>.2.2</w:t>
      </w:r>
      <w:r>
        <w:rPr>
          <w:rFonts w:hint="eastAsia"/>
          <w:b w:val="0"/>
          <w:bCs w:val="0"/>
        </w:rPr>
        <w:t>校企共建实践教学基地</w:t>
      </w:r>
      <w:bookmarkEnd w:id="27"/>
    </w:p>
    <w:p>
      <w:pPr>
        <w:autoSpaceDE w:val="0"/>
        <w:autoSpaceDN w:val="0"/>
        <w:spacing w:before="190"/>
        <w:ind w:left="936" w:firstLine="640" w:firstLineChars="200"/>
        <w:jc w:val="left"/>
        <w:rPr>
          <w:rFonts w:ascii="仿宋" w:hAnsi="仿宋"/>
          <w:szCs w:val="32"/>
        </w:rPr>
      </w:pPr>
      <w:r>
        <w:rPr>
          <w:rFonts w:hint="eastAsia" w:ascii="仿宋" w:hAnsi="仿宋"/>
          <w:szCs w:val="32"/>
        </w:rPr>
        <w:t>近年来，学院对接行业企业，校企共建实践教学基地。不定期派出专业教师到合作企业锻炼，提高教师专业实践技能，助推专业发展，进一步推动教学改革和课程创新。</w:t>
      </w:r>
    </w:p>
    <w:p>
      <w:pPr>
        <w:autoSpaceDE w:val="0"/>
        <w:autoSpaceDN w:val="0"/>
        <w:spacing w:before="190"/>
        <w:ind w:left="936" w:firstLine="640" w:firstLineChars="200"/>
        <w:jc w:val="left"/>
        <w:rPr>
          <w:rFonts w:ascii="仿宋" w:hAnsi="仿宋"/>
          <w:szCs w:val="32"/>
        </w:rPr>
      </w:pPr>
      <w:r>
        <w:rPr>
          <w:rFonts w:hint="eastAsia" w:ascii="仿宋" w:hAnsi="仿宋"/>
          <w:szCs w:val="32"/>
        </w:rPr>
        <w:t>学院影视系与杭州时光坐标影视传媒股份有限公司开展校企合作人才培养模式，共建有国家级广播影视校企共建生产性实训基地项目一个，该基地也</w:t>
      </w:r>
      <w:r>
        <w:rPr>
          <w:rFonts w:ascii="仿宋" w:hAnsi="仿宋"/>
          <w:szCs w:val="32"/>
        </w:rPr>
        <w:t>成为湖南省高职院校广播影视专业校企合作的先锋。美术系联合办学单位—新迈尔（北京）科技有限公司获批成为工信部教考中心授权的工业和信息化人才培养工程培训基地。</w:t>
      </w:r>
    </w:p>
    <w:p>
      <w:pPr>
        <w:autoSpaceDE w:val="0"/>
        <w:autoSpaceDN w:val="0"/>
        <w:spacing w:before="190"/>
        <w:ind w:left="936" w:firstLine="640" w:firstLineChars="200"/>
        <w:jc w:val="left"/>
        <w:rPr>
          <w:rFonts w:ascii="仿宋" w:hAnsi="仿宋"/>
          <w:w w:val="95"/>
          <w:szCs w:val="32"/>
        </w:rPr>
      </w:pPr>
      <w:r>
        <w:rPr>
          <w:rFonts w:ascii="仿宋" w:hAnsi="仿宋"/>
          <w:szCs w:val="32"/>
        </w:rPr>
        <w:t>2021年在省委省政府、省委宣传部、安化县委县政府和谦益吉公司多方大力支持</w:t>
      </w:r>
      <w:r>
        <w:rPr>
          <w:rFonts w:hint="eastAsia" w:ascii="仿宋" w:hAnsi="仿宋"/>
          <w:szCs w:val="32"/>
        </w:rPr>
        <w:t>，学院影视系“安化</w:t>
      </w:r>
      <w:r>
        <w:rPr>
          <w:rFonts w:hint="eastAsia" w:ascii="仿宋" w:hAnsi="仿宋"/>
          <w:w w:val="95"/>
          <w:szCs w:val="32"/>
        </w:rPr>
        <w:t>黑茶直播与视频基地”项目如期启动，助力乡村振兴。</w:t>
      </w:r>
    </w:p>
    <w:p>
      <w:pPr>
        <w:autoSpaceDE w:val="0"/>
        <w:autoSpaceDN w:val="0"/>
        <w:spacing w:before="190"/>
        <w:jc w:val="left"/>
        <w:rPr>
          <w:rFonts w:ascii="仿宋" w:hAnsi="仿宋"/>
          <w:szCs w:val="32"/>
        </w:rPr>
      </w:pPr>
      <w:r>
        <w:rPr>
          <w:rFonts w:hint="eastAsia" w:ascii="仿宋" w:hAnsi="仿宋"/>
          <w:szCs w:val="32"/>
        </w:rPr>
        <w:drawing>
          <wp:inline distT="0" distB="0" distL="0" distR="0">
            <wp:extent cx="5274310" cy="2967355"/>
            <wp:effectExtent l="0" t="0" r="2540" b="4445"/>
            <wp:docPr id="2" name="图片 2" descr="一群人在房间里跳舞&#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群人在房间里跳舞&#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autoSpaceDE w:val="0"/>
        <w:autoSpaceDN w:val="0"/>
        <w:spacing w:before="190"/>
        <w:jc w:val="center"/>
        <w:rPr>
          <w:rFonts w:hint="eastAsia" w:ascii="楷体" w:hAnsi="楷体" w:eastAsia="楷体"/>
          <w:sz w:val="28"/>
          <w:szCs w:val="28"/>
        </w:rPr>
      </w:pPr>
      <w:r>
        <w:rPr>
          <w:rFonts w:hint="eastAsia" w:ascii="楷体" w:hAnsi="楷体" w:eastAsia="楷体"/>
          <w:sz w:val="28"/>
          <w:szCs w:val="28"/>
        </w:rPr>
        <w:t>图</w:t>
      </w:r>
      <w:r>
        <w:rPr>
          <w:rFonts w:ascii="楷体" w:hAnsi="楷体" w:eastAsia="楷体"/>
          <w:sz w:val="28"/>
          <w:szCs w:val="28"/>
        </w:rPr>
        <w:t xml:space="preserve">2-1 </w:t>
      </w:r>
      <w:r>
        <w:rPr>
          <w:rFonts w:hint="eastAsia" w:ascii="楷体" w:hAnsi="楷体" w:eastAsia="楷体"/>
          <w:sz w:val="28"/>
          <w:szCs w:val="28"/>
        </w:rPr>
        <w:t>校企共建安化黑茶直播与视频基地</w:t>
      </w:r>
    </w:p>
    <w:p>
      <w:pPr>
        <w:autoSpaceDE w:val="0"/>
        <w:autoSpaceDN w:val="0"/>
        <w:spacing w:before="190"/>
        <w:ind w:left="936" w:firstLine="640" w:firstLineChars="200"/>
        <w:jc w:val="left"/>
        <w:rPr>
          <w:rFonts w:ascii="仿宋" w:hAnsi="仿宋"/>
          <w:szCs w:val="32"/>
        </w:rPr>
      </w:pPr>
      <w:r>
        <w:rPr>
          <w:rFonts w:hint="eastAsia" w:ascii="仿宋" w:hAnsi="仿宋"/>
          <w:szCs w:val="32"/>
        </w:rPr>
        <w:t>通过校企共建人才培养基地，进一步推动了产、教、研深度融合发展，校企双方进一步形成了资源共享、专业共建、人才共培、</w:t>
      </w:r>
      <w:r>
        <w:rPr>
          <w:rFonts w:hint="eastAsia" w:ascii="仿宋" w:hAnsi="仿宋"/>
          <w:w w:val="95"/>
          <w:szCs w:val="32"/>
        </w:rPr>
        <w:t>项目合作的良好互动机制，为社会培养更多创新性、实践性专业人才。</w:t>
      </w:r>
    </w:p>
    <w:p>
      <w:pPr>
        <w:pStyle w:val="4"/>
        <w:rPr>
          <w:b w:val="0"/>
          <w:bCs w:val="0"/>
        </w:rPr>
      </w:pPr>
      <w:bookmarkStart w:id="28" w:name="_Toc8568"/>
      <w:r>
        <w:rPr>
          <w:rFonts w:hint="eastAsia"/>
          <w:b w:val="0"/>
          <w:bCs w:val="0"/>
        </w:rPr>
        <w:t>2</w:t>
      </w:r>
      <w:r>
        <w:rPr>
          <w:b w:val="0"/>
          <w:bCs w:val="0"/>
        </w:rPr>
        <w:t>.2.3</w:t>
      </w:r>
      <w:r>
        <w:rPr>
          <w:rFonts w:hint="eastAsia"/>
          <w:b w:val="0"/>
          <w:bCs w:val="0"/>
        </w:rPr>
        <w:t>校企共建精品课程</w:t>
      </w:r>
      <w:bookmarkEnd w:id="28"/>
    </w:p>
    <w:p>
      <w:pPr>
        <w:autoSpaceDE w:val="0"/>
        <w:autoSpaceDN w:val="0"/>
        <w:spacing w:before="190"/>
        <w:ind w:left="936" w:firstLine="640" w:firstLineChars="200"/>
        <w:jc w:val="left"/>
        <w:rPr>
          <w:rFonts w:ascii="仿宋" w:hAnsi="仿宋"/>
          <w:szCs w:val="32"/>
        </w:rPr>
      </w:pPr>
      <w:r>
        <w:rPr>
          <w:rFonts w:hint="eastAsia" w:ascii="仿宋" w:hAnsi="仿宋"/>
          <w:szCs w:val="32"/>
        </w:rPr>
        <w:t>我院通过课程体系和教学方法的改革创新，按照“教、学、做”一体化的教学要求，健全教学资源动态更新机制，以“课程设置岗位化、课程结构模块化、课程内容综合化、课程评价多元化”的建设思路，按照人才市场需要，积极开展模块化课程体系改革。校企共同制定职业教学标准、构建课程体系，建设精品课程，优化理实教学方法，</w:t>
      </w:r>
      <w:r>
        <w:rPr>
          <w:rFonts w:ascii="仿宋" w:hAnsi="仿宋"/>
          <w:szCs w:val="32"/>
        </w:rPr>
        <w:t>2021年校企共建专业核心在线开放精品课程2门。</w:t>
      </w:r>
    </w:p>
    <w:p>
      <w:pPr>
        <w:pStyle w:val="3"/>
      </w:pPr>
      <w:bookmarkStart w:id="29" w:name="_Toc18250"/>
      <w:r>
        <w:rPr>
          <w:rFonts w:hint="eastAsia"/>
        </w:rPr>
        <w:t>2</w:t>
      </w:r>
      <w:r>
        <w:t>.3</w:t>
      </w:r>
      <w:r>
        <w:rPr>
          <w:rFonts w:hint="eastAsia"/>
        </w:rPr>
        <w:t>校企双元育人</w:t>
      </w:r>
      <w:bookmarkEnd w:id="29"/>
    </w:p>
    <w:p>
      <w:pPr>
        <w:pStyle w:val="4"/>
        <w:rPr>
          <w:b w:val="0"/>
          <w:bCs w:val="0"/>
        </w:rPr>
      </w:pPr>
      <w:bookmarkStart w:id="30" w:name="_Toc17541"/>
      <w:r>
        <w:rPr>
          <w:rFonts w:hint="eastAsia"/>
          <w:b w:val="0"/>
          <w:bCs w:val="0"/>
        </w:rPr>
        <w:t>2</w:t>
      </w:r>
      <w:r>
        <w:rPr>
          <w:b w:val="0"/>
          <w:bCs w:val="0"/>
        </w:rPr>
        <w:t>.3.1</w:t>
      </w:r>
      <w:r>
        <w:rPr>
          <w:rFonts w:hint="eastAsia"/>
          <w:b w:val="0"/>
          <w:bCs w:val="0"/>
        </w:rPr>
        <w:t>现代学徒制</w:t>
      </w:r>
      <w:bookmarkEnd w:id="30"/>
    </w:p>
    <w:p>
      <w:pPr>
        <w:autoSpaceDE w:val="0"/>
        <w:autoSpaceDN w:val="0"/>
        <w:spacing w:before="190"/>
        <w:ind w:left="936" w:firstLine="640" w:firstLineChars="200"/>
        <w:jc w:val="left"/>
        <w:rPr>
          <w:rFonts w:ascii="仿宋" w:hAnsi="仿宋"/>
          <w:szCs w:val="32"/>
        </w:rPr>
      </w:pPr>
      <w:r>
        <w:rPr>
          <w:rFonts w:hint="eastAsia" w:ascii="仿宋" w:hAnsi="仿宋"/>
          <w:szCs w:val="32"/>
        </w:rPr>
        <w:t>学院积极推行“现代学徒制”。我院戏剧表演专业通过一系列的剧目排练演，对照行业标准，努力打造“双师型”教师队伍，实践“课堂</w:t>
      </w:r>
      <w:r>
        <w:rPr>
          <w:rFonts w:ascii="仿宋" w:hAnsi="仿宋"/>
          <w:szCs w:val="32"/>
        </w:rPr>
        <w:t>+舞台”学演结合的人才培养模式，院团深入合作，积极探索现代学徒制，对继续传承湖南地方戏曲，弘扬湖湘优秀文化发挥了积极的作用。</w:t>
      </w:r>
      <w:r>
        <w:rPr>
          <w:rFonts w:hint="eastAsia" w:ascii="仿宋" w:hAnsi="仿宋"/>
          <w:szCs w:val="32"/>
        </w:rPr>
        <w:t>目前，学院被立项为湖南省现代学徒制单位（戏曲表演专业）。</w:t>
      </w:r>
    </w:p>
    <w:p>
      <w:pPr>
        <w:pStyle w:val="4"/>
        <w:rPr>
          <w:b w:val="0"/>
          <w:bCs w:val="0"/>
        </w:rPr>
      </w:pPr>
      <w:bookmarkStart w:id="31" w:name="_Toc12590"/>
      <w:r>
        <w:rPr>
          <w:rFonts w:hint="eastAsia"/>
          <w:b w:val="0"/>
          <w:bCs w:val="0"/>
        </w:rPr>
        <w:t>2</w:t>
      </w:r>
      <w:r>
        <w:rPr>
          <w:b w:val="0"/>
          <w:bCs w:val="0"/>
        </w:rPr>
        <w:t>.3.2</w:t>
      </w:r>
      <w:r>
        <w:rPr>
          <w:rFonts w:hint="eastAsia"/>
          <w:b w:val="0"/>
          <w:bCs w:val="0"/>
        </w:rPr>
        <w:t>多样化订单培养</w:t>
      </w:r>
      <w:bookmarkEnd w:id="31"/>
    </w:p>
    <w:p>
      <w:pPr>
        <w:autoSpaceDE w:val="0"/>
        <w:autoSpaceDN w:val="0"/>
        <w:spacing w:before="190"/>
        <w:ind w:left="936" w:firstLine="640" w:firstLineChars="200"/>
        <w:jc w:val="left"/>
        <w:rPr>
          <w:rFonts w:ascii="仿宋" w:hAnsi="仿宋"/>
          <w:szCs w:val="32"/>
        </w:rPr>
      </w:pPr>
      <w:r>
        <w:rPr>
          <w:rFonts w:hint="eastAsia" w:ascii="仿宋" w:hAnsi="仿宋"/>
          <w:szCs w:val="32"/>
        </w:rPr>
        <w:t>2</w:t>
      </w:r>
      <w:r>
        <w:rPr>
          <w:rFonts w:ascii="仿宋" w:hAnsi="仿宋"/>
          <w:szCs w:val="32"/>
        </w:rPr>
        <w:t>019</w:t>
      </w:r>
      <w:r>
        <w:rPr>
          <w:rFonts w:hint="eastAsia" w:ascii="仿宋" w:hAnsi="仿宋"/>
          <w:szCs w:val="32"/>
        </w:rPr>
        <w:t>年与桂阳湘剧团合作办学；2</w:t>
      </w:r>
      <w:r>
        <w:rPr>
          <w:rFonts w:ascii="仿宋" w:hAnsi="仿宋"/>
          <w:szCs w:val="32"/>
        </w:rPr>
        <w:t>020</w:t>
      </w:r>
      <w:r>
        <w:rPr>
          <w:rFonts w:hint="eastAsia" w:ascii="仿宋" w:hAnsi="仿宋"/>
          <w:szCs w:val="32"/>
        </w:rPr>
        <w:t>年与</w:t>
      </w:r>
      <w:bookmarkStart w:id="32" w:name="_Hlk89077405"/>
      <w:r>
        <w:rPr>
          <w:rFonts w:hint="eastAsia" w:ascii="仿宋" w:hAnsi="仿宋"/>
          <w:szCs w:val="32"/>
        </w:rPr>
        <w:t>澧县荆河戏</w:t>
      </w:r>
      <w:bookmarkEnd w:id="32"/>
      <w:r>
        <w:rPr>
          <w:rFonts w:hint="eastAsia" w:ascii="仿宋" w:hAnsi="仿宋"/>
          <w:szCs w:val="32"/>
        </w:rPr>
        <w:t>剧院合作办学；2</w:t>
      </w:r>
      <w:r>
        <w:rPr>
          <w:rFonts w:ascii="仿宋" w:hAnsi="仿宋"/>
          <w:szCs w:val="32"/>
        </w:rPr>
        <w:t>021</w:t>
      </w:r>
      <w:r>
        <w:rPr>
          <w:rFonts w:hint="eastAsia" w:ascii="仿宋" w:hAnsi="仿宋"/>
          <w:szCs w:val="32"/>
        </w:rPr>
        <w:t>年分别与永州市祁剧保护传承中心、永州市零陵花鼓戏保护传承中心、资兴市文化馆开展合作办学。</w:t>
      </w:r>
    </w:p>
    <w:p>
      <w:pPr>
        <w:autoSpaceDE w:val="0"/>
        <w:autoSpaceDN w:val="0"/>
        <w:spacing w:before="190"/>
        <w:ind w:left="936" w:firstLine="640" w:firstLineChars="200"/>
        <w:jc w:val="left"/>
        <w:rPr>
          <w:rFonts w:ascii="仿宋" w:hAnsi="仿宋"/>
          <w:szCs w:val="32"/>
        </w:rPr>
      </w:pPr>
      <w:r>
        <w:rPr>
          <w:rFonts w:hint="eastAsia" w:ascii="仿宋" w:hAnsi="仿宋"/>
          <w:szCs w:val="32"/>
        </w:rPr>
        <w:t>我院近三年相继与5个地方院团开展订单培养、合作办学，开展现代学徒制试点，剧团参与人才培养的全过程。探索实施院企双制办学模式，即剧团用人机制和学院育人机制，实现专业共建、人才共育、过程共管、成果共享。剧团参与到学院招生过程中，明确招生基本要求；与学院共同制订人才培养方案、共同开发课程体系，剧团专家全程参与学生教学管理，采取工学一体化的培养模式，充分利用院企双方的实习实训资源，推行“双导师”制，在剧团以导师带徒为主，在学院以指导老师带徒为主，共同参与学生评价，促进了人才培养质量提升。</w:t>
      </w:r>
    </w:p>
    <w:p>
      <w:pPr>
        <w:autoSpaceDE w:val="0"/>
        <w:autoSpaceDN w:val="0"/>
        <w:spacing w:before="190"/>
        <w:jc w:val="center"/>
        <w:rPr>
          <w:rFonts w:ascii="楷体" w:hAnsi="楷体" w:eastAsia="楷体"/>
          <w:b/>
          <w:bCs/>
          <w:sz w:val="28"/>
          <w:szCs w:val="28"/>
        </w:rPr>
      </w:pPr>
      <w:r>
        <w:rPr>
          <w:rFonts w:hint="eastAsia" w:ascii="楷体" w:hAnsi="楷体" w:eastAsia="楷体"/>
          <w:b/>
          <w:bCs/>
          <w:sz w:val="28"/>
          <w:szCs w:val="28"/>
        </w:rPr>
        <w:t>表2</w:t>
      </w:r>
      <w:r>
        <w:rPr>
          <w:rFonts w:ascii="楷体" w:hAnsi="楷体" w:eastAsia="楷体"/>
          <w:b/>
          <w:bCs/>
          <w:sz w:val="28"/>
          <w:szCs w:val="28"/>
        </w:rPr>
        <w:t xml:space="preserve">-2 </w:t>
      </w:r>
      <w:r>
        <w:rPr>
          <w:rFonts w:hint="eastAsia" w:ascii="楷体" w:hAnsi="楷体" w:eastAsia="楷体"/>
          <w:b/>
          <w:bCs/>
          <w:sz w:val="28"/>
          <w:szCs w:val="28"/>
        </w:rPr>
        <w:t>学院近三年与院团合作“订单班”情况表</w:t>
      </w:r>
    </w:p>
    <w:tbl>
      <w:tblPr>
        <w:tblStyle w:val="12"/>
        <w:tblW w:w="8798" w:type="dxa"/>
        <w:jc w:val="cente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autofit"/>
        <w:tblCellMar>
          <w:top w:w="0" w:type="dxa"/>
          <w:left w:w="108" w:type="dxa"/>
          <w:bottom w:w="0" w:type="dxa"/>
          <w:right w:w="108" w:type="dxa"/>
        </w:tblCellMar>
      </w:tblPr>
      <w:tblGrid>
        <w:gridCol w:w="805"/>
        <w:gridCol w:w="4651"/>
        <w:gridCol w:w="1232"/>
        <w:gridCol w:w="2110"/>
      </w:tblGrid>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26" w:hRule="atLeast"/>
          <w:jc w:val="center"/>
        </w:trPr>
        <w:tc>
          <w:tcPr>
            <w:tcW w:w="805" w:type="dxa"/>
            <w:tcBorders>
              <w:top w:val="single" w:color="4472C4" w:sz="4" w:space="0"/>
              <w:left w:val="single" w:color="4472C4" w:sz="4" w:space="0"/>
              <w:bottom w:val="single" w:color="4472C4" w:sz="4" w:space="0"/>
              <w:right w:val="nil"/>
            </w:tcBorders>
            <w:shd w:val="clear" w:color="auto" w:fill="4472C4"/>
          </w:tcPr>
          <w:p>
            <w:pPr>
              <w:autoSpaceDE w:val="0"/>
              <w:autoSpaceDN w:val="0"/>
              <w:jc w:val="center"/>
              <w:rPr>
                <w:rFonts w:ascii="宋体" w:hAnsi="宋体" w:eastAsia="宋体"/>
                <w:b/>
                <w:bCs/>
                <w:color w:val="FFFFFF"/>
                <w:kern w:val="0"/>
                <w:sz w:val="24"/>
                <w:szCs w:val="24"/>
              </w:rPr>
            </w:pPr>
            <w:r>
              <w:rPr>
                <w:rFonts w:hint="eastAsia" w:ascii="宋体" w:hAnsi="宋体" w:eastAsia="宋体"/>
                <w:b/>
                <w:bCs/>
                <w:color w:val="FFFFFF"/>
                <w:kern w:val="0"/>
                <w:sz w:val="24"/>
                <w:szCs w:val="24"/>
              </w:rPr>
              <w:t>序号</w:t>
            </w:r>
          </w:p>
        </w:tc>
        <w:tc>
          <w:tcPr>
            <w:tcW w:w="4651" w:type="dxa"/>
            <w:tcBorders>
              <w:top w:val="single" w:color="4472C4" w:sz="4" w:space="0"/>
              <w:left w:val="nil"/>
              <w:bottom w:val="single" w:color="4472C4" w:sz="4" w:space="0"/>
              <w:right w:val="nil"/>
            </w:tcBorders>
            <w:shd w:val="clear" w:color="auto" w:fill="4472C4"/>
          </w:tcPr>
          <w:p>
            <w:pPr>
              <w:autoSpaceDE w:val="0"/>
              <w:autoSpaceDN w:val="0"/>
              <w:jc w:val="center"/>
              <w:rPr>
                <w:rFonts w:ascii="宋体" w:hAnsi="宋体" w:eastAsia="宋体"/>
                <w:b/>
                <w:bCs/>
                <w:color w:val="FFFFFF"/>
                <w:kern w:val="0"/>
                <w:sz w:val="24"/>
                <w:szCs w:val="24"/>
              </w:rPr>
            </w:pPr>
            <w:r>
              <w:rPr>
                <w:rFonts w:hint="eastAsia" w:ascii="宋体" w:hAnsi="宋体" w:eastAsia="宋体"/>
                <w:b/>
                <w:bCs/>
                <w:color w:val="FFFFFF"/>
                <w:kern w:val="0"/>
                <w:sz w:val="24"/>
                <w:szCs w:val="24"/>
              </w:rPr>
              <w:t>院团名称</w:t>
            </w:r>
          </w:p>
        </w:tc>
        <w:tc>
          <w:tcPr>
            <w:tcW w:w="1232" w:type="dxa"/>
            <w:tcBorders>
              <w:top w:val="single" w:color="4472C4" w:sz="4" w:space="0"/>
              <w:left w:val="nil"/>
              <w:bottom w:val="single" w:color="4472C4" w:sz="4" w:space="0"/>
              <w:right w:val="nil"/>
            </w:tcBorders>
            <w:shd w:val="clear" w:color="auto" w:fill="4472C4"/>
          </w:tcPr>
          <w:p>
            <w:pPr>
              <w:autoSpaceDE w:val="0"/>
              <w:autoSpaceDN w:val="0"/>
              <w:jc w:val="center"/>
              <w:rPr>
                <w:rFonts w:ascii="宋体" w:hAnsi="宋体" w:eastAsia="宋体"/>
                <w:b/>
                <w:bCs/>
                <w:color w:val="FFFFFF"/>
                <w:kern w:val="0"/>
                <w:sz w:val="24"/>
                <w:szCs w:val="24"/>
              </w:rPr>
            </w:pPr>
            <w:r>
              <w:rPr>
                <w:rFonts w:hint="eastAsia" w:ascii="宋体" w:hAnsi="宋体" w:eastAsia="宋体"/>
                <w:b/>
                <w:bCs/>
                <w:color w:val="FFFFFF"/>
                <w:kern w:val="0"/>
                <w:sz w:val="24"/>
                <w:szCs w:val="24"/>
              </w:rPr>
              <w:t>建设时间</w:t>
            </w:r>
          </w:p>
        </w:tc>
        <w:tc>
          <w:tcPr>
            <w:tcW w:w="2110" w:type="dxa"/>
            <w:tcBorders>
              <w:top w:val="single" w:color="4472C4" w:sz="4" w:space="0"/>
              <w:left w:val="nil"/>
              <w:bottom w:val="single" w:color="4472C4" w:sz="4" w:space="0"/>
              <w:right w:val="single" w:color="4472C4" w:sz="4" w:space="0"/>
            </w:tcBorders>
            <w:shd w:val="clear" w:color="auto" w:fill="4472C4"/>
          </w:tcPr>
          <w:p>
            <w:pPr>
              <w:autoSpaceDE w:val="0"/>
              <w:autoSpaceDN w:val="0"/>
              <w:jc w:val="center"/>
              <w:rPr>
                <w:rFonts w:ascii="宋体" w:hAnsi="宋体" w:eastAsia="宋体"/>
                <w:b/>
                <w:bCs/>
                <w:color w:val="FFFFFF"/>
                <w:kern w:val="0"/>
                <w:sz w:val="24"/>
                <w:szCs w:val="24"/>
              </w:rPr>
            </w:pPr>
            <w:r>
              <w:rPr>
                <w:rFonts w:hint="eastAsia" w:ascii="宋体" w:hAnsi="宋体" w:eastAsia="宋体"/>
                <w:b/>
                <w:bCs/>
                <w:color w:val="FFFFFF"/>
                <w:kern w:val="0"/>
                <w:sz w:val="24"/>
                <w:szCs w:val="24"/>
              </w:rPr>
              <w:t>订单培养数（人）</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75" w:hRule="atLeast"/>
          <w:jc w:val="center"/>
        </w:trPr>
        <w:tc>
          <w:tcPr>
            <w:tcW w:w="805" w:type="dxa"/>
            <w:shd w:val="clear" w:color="auto" w:fill="D9E2F3"/>
          </w:tcPr>
          <w:p>
            <w:pPr>
              <w:autoSpaceDE w:val="0"/>
              <w:autoSpaceDN w:val="0"/>
              <w:jc w:val="center"/>
              <w:rPr>
                <w:rFonts w:ascii="宋体" w:hAnsi="宋体" w:eastAsia="宋体"/>
                <w:b/>
                <w:bCs/>
                <w:kern w:val="0"/>
                <w:sz w:val="24"/>
                <w:szCs w:val="24"/>
              </w:rPr>
            </w:pPr>
            <w:r>
              <w:rPr>
                <w:rFonts w:ascii="宋体" w:hAnsi="宋体" w:eastAsia="宋体"/>
                <w:b/>
                <w:bCs/>
                <w:kern w:val="0"/>
                <w:sz w:val="24"/>
                <w:szCs w:val="24"/>
              </w:rPr>
              <w:t>1</w:t>
            </w:r>
          </w:p>
        </w:tc>
        <w:tc>
          <w:tcPr>
            <w:tcW w:w="4651" w:type="dxa"/>
            <w:shd w:val="clear" w:color="auto" w:fill="D9E2F3"/>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桂阳县湘剧保护传承中心</w:t>
            </w:r>
          </w:p>
        </w:tc>
        <w:tc>
          <w:tcPr>
            <w:tcW w:w="1232" w:type="dxa"/>
            <w:shd w:val="clear" w:color="auto" w:fill="D9E2F3"/>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2019年</w:t>
            </w:r>
          </w:p>
        </w:tc>
        <w:tc>
          <w:tcPr>
            <w:tcW w:w="2110" w:type="dxa"/>
            <w:shd w:val="clear" w:color="auto" w:fill="D9E2F3"/>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28</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37" w:hRule="atLeast"/>
          <w:jc w:val="center"/>
        </w:trPr>
        <w:tc>
          <w:tcPr>
            <w:tcW w:w="805" w:type="dxa"/>
            <w:shd w:val="clear" w:color="auto" w:fill="auto"/>
          </w:tcPr>
          <w:p>
            <w:pPr>
              <w:autoSpaceDE w:val="0"/>
              <w:autoSpaceDN w:val="0"/>
              <w:jc w:val="center"/>
              <w:rPr>
                <w:rFonts w:ascii="宋体" w:hAnsi="宋体" w:eastAsia="宋体"/>
                <w:b/>
                <w:bCs/>
                <w:kern w:val="0"/>
                <w:sz w:val="24"/>
                <w:szCs w:val="24"/>
              </w:rPr>
            </w:pPr>
            <w:r>
              <w:rPr>
                <w:rFonts w:ascii="宋体" w:hAnsi="宋体" w:eastAsia="宋体"/>
                <w:b/>
                <w:bCs/>
                <w:kern w:val="0"/>
                <w:sz w:val="24"/>
                <w:szCs w:val="24"/>
              </w:rPr>
              <w:t>2</w:t>
            </w:r>
          </w:p>
        </w:tc>
        <w:tc>
          <w:tcPr>
            <w:tcW w:w="46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澧县荆河戏剧院</w:t>
            </w:r>
          </w:p>
        </w:tc>
        <w:tc>
          <w:tcPr>
            <w:tcW w:w="123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2020年</w:t>
            </w:r>
          </w:p>
        </w:tc>
        <w:tc>
          <w:tcPr>
            <w:tcW w:w="2110"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25</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341" w:hRule="atLeast"/>
          <w:jc w:val="center"/>
        </w:trPr>
        <w:tc>
          <w:tcPr>
            <w:tcW w:w="805" w:type="dxa"/>
            <w:shd w:val="clear" w:color="auto" w:fill="D9E2F3"/>
          </w:tcPr>
          <w:p>
            <w:pPr>
              <w:autoSpaceDE w:val="0"/>
              <w:autoSpaceDN w:val="0"/>
              <w:jc w:val="center"/>
              <w:rPr>
                <w:rFonts w:ascii="宋体" w:hAnsi="宋体" w:eastAsia="宋体"/>
                <w:b/>
                <w:bCs/>
                <w:kern w:val="0"/>
                <w:sz w:val="24"/>
                <w:szCs w:val="24"/>
              </w:rPr>
            </w:pPr>
            <w:r>
              <w:rPr>
                <w:rFonts w:ascii="宋体" w:hAnsi="宋体" w:eastAsia="宋体"/>
                <w:b/>
                <w:bCs/>
                <w:kern w:val="0"/>
                <w:sz w:val="24"/>
                <w:szCs w:val="24"/>
              </w:rPr>
              <w:t>3</w:t>
            </w:r>
          </w:p>
        </w:tc>
        <w:tc>
          <w:tcPr>
            <w:tcW w:w="4651" w:type="dxa"/>
            <w:shd w:val="clear" w:color="auto" w:fill="D9E2F3"/>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永州市祁剧保护传承中心</w:t>
            </w:r>
          </w:p>
        </w:tc>
        <w:tc>
          <w:tcPr>
            <w:tcW w:w="1232" w:type="dxa"/>
            <w:shd w:val="clear" w:color="auto" w:fill="D9E2F3"/>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2021年</w:t>
            </w:r>
          </w:p>
        </w:tc>
        <w:tc>
          <w:tcPr>
            <w:tcW w:w="2110" w:type="dxa"/>
            <w:shd w:val="clear" w:color="auto" w:fill="D9E2F3"/>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40</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74" w:hRule="atLeast"/>
          <w:jc w:val="center"/>
        </w:trPr>
        <w:tc>
          <w:tcPr>
            <w:tcW w:w="805" w:type="dxa"/>
            <w:shd w:val="clear" w:color="auto" w:fill="auto"/>
          </w:tcPr>
          <w:p>
            <w:pPr>
              <w:autoSpaceDE w:val="0"/>
              <w:autoSpaceDN w:val="0"/>
              <w:jc w:val="center"/>
              <w:rPr>
                <w:rFonts w:ascii="宋体" w:hAnsi="宋体" w:eastAsia="宋体"/>
                <w:b/>
                <w:bCs/>
                <w:kern w:val="0"/>
                <w:sz w:val="24"/>
                <w:szCs w:val="24"/>
              </w:rPr>
            </w:pPr>
            <w:r>
              <w:rPr>
                <w:rFonts w:ascii="宋体" w:hAnsi="宋体" w:eastAsia="宋体"/>
                <w:b/>
                <w:bCs/>
                <w:kern w:val="0"/>
                <w:sz w:val="24"/>
                <w:szCs w:val="24"/>
              </w:rPr>
              <w:t>4</w:t>
            </w:r>
          </w:p>
        </w:tc>
        <w:tc>
          <w:tcPr>
            <w:tcW w:w="4651"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永州市零陵花鼓戏保护传承中心</w:t>
            </w:r>
          </w:p>
        </w:tc>
        <w:tc>
          <w:tcPr>
            <w:tcW w:w="1232"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2021年</w:t>
            </w:r>
          </w:p>
        </w:tc>
        <w:tc>
          <w:tcPr>
            <w:tcW w:w="2110" w:type="dxa"/>
            <w:shd w:val="clear" w:color="auto" w:fill="auto"/>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25</w:t>
            </w:r>
          </w:p>
        </w:tc>
      </w:tr>
      <w:tr>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74" w:hRule="atLeast"/>
          <w:jc w:val="center"/>
        </w:trPr>
        <w:tc>
          <w:tcPr>
            <w:tcW w:w="805" w:type="dxa"/>
            <w:shd w:val="clear" w:color="auto" w:fill="D9E2F3"/>
          </w:tcPr>
          <w:p>
            <w:pPr>
              <w:autoSpaceDE w:val="0"/>
              <w:autoSpaceDN w:val="0"/>
              <w:jc w:val="center"/>
              <w:rPr>
                <w:rFonts w:ascii="宋体" w:hAnsi="宋体" w:eastAsia="宋体"/>
                <w:b/>
                <w:bCs/>
                <w:kern w:val="0"/>
                <w:sz w:val="24"/>
                <w:szCs w:val="24"/>
              </w:rPr>
            </w:pPr>
            <w:r>
              <w:rPr>
                <w:rFonts w:ascii="宋体" w:hAnsi="宋体" w:eastAsia="宋体"/>
                <w:b/>
                <w:bCs/>
                <w:kern w:val="0"/>
                <w:sz w:val="24"/>
                <w:szCs w:val="24"/>
              </w:rPr>
              <w:t>5</w:t>
            </w:r>
          </w:p>
        </w:tc>
        <w:tc>
          <w:tcPr>
            <w:tcW w:w="4651" w:type="dxa"/>
            <w:shd w:val="clear" w:color="auto" w:fill="D9E2F3"/>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资兴市文化馆</w:t>
            </w:r>
          </w:p>
        </w:tc>
        <w:tc>
          <w:tcPr>
            <w:tcW w:w="1232" w:type="dxa"/>
            <w:shd w:val="clear" w:color="auto" w:fill="D9E2F3"/>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2021年</w:t>
            </w:r>
          </w:p>
        </w:tc>
        <w:tc>
          <w:tcPr>
            <w:tcW w:w="2110" w:type="dxa"/>
            <w:shd w:val="clear" w:color="auto" w:fill="D9E2F3"/>
          </w:tcPr>
          <w:p>
            <w:pPr>
              <w:autoSpaceDE w:val="0"/>
              <w:autoSpaceDN w:val="0"/>
              <w:jc w:val="center"/>
              <w:rPr>
                <w:rFonts w:ascii="宋体" w:hAnsi="宋体" w:eastAsia="宋体"/>
                <w:kern w:val="0"/>
                <w:sz w:val="24"/>
                <w:szCs w:val="24"/>
              </w:rPr>
            </w:pPr>
            <w:r>
              <w:rPr>
                <w:rFonts w:hint="eastAsia" w:ascii="宋体" w:hAnsi="宋体" w:eastAsia="宋体"/>
                <w:kern w:val="0"/>
                <w:sz w:val="24"/>
                <w:szCs w:val="24"/>
              </w:rPr>
              <w:t>15</w:t>
            </w:r>
          </w:p>
        </w:tc>
      </w:tr>
    </w:tbl>
    <w:p>
      <w:pPr>
        <w:jc w:val="right"/>
        <w:rPr>
          <w:rFonts w:ascii="楷体" w:hAnsi="楷体" w:eastAsia="楷体"/>
          <w:sz w:val="24"/>
          <w:szCs w:val="24"/>
        </w:rPr>
      </w:pPr>
      <w:r>
        <w:rPr>
          <w:rFonts w:hint="eastAsia" w:ascii="楷体" w:hAnsi="楷体" w:eastAsia="楷体"/>
          <w:sz w:val="24"/>
          <w:szCs w:val="24"/>
        </w:rPr>
        <w:t>数据来源：湖南艺术职业学院发展规划处</w:t>
      </w:r>
    </w:p>
    <w:p>
      <w:pPr>
        <w:pStyle w:val="3"/>
      </w:pPr>
      <w:bookmarkStart w:id="33" w:name="_Toc27856"/>
      <w:r>
        <w:t>2.4 1+X</w:t>
      </w:r>
      <w:r>
        <w:rPr>
          <w:rFonts w:hint="eastAsia"/>
        </w:rPr>
        <w:t>证书制度试点</w:t>
      </w:r>
      <w:bookmarkEnd w:id="33"/>
    </w:p>
    <w:p>
      <w:pPr>
        <w:pStyle w:val="4"/>
        <w:rPr>
          <w:b w:val="0"/>
          <w:bCs w:val="0"/>
        </w:rPr>
      </w:pPr>
      <w:bookmarkStart w:id="34" w:name="_Toc26886"/>
      <w:r>
        <w:rPr>
          <w:rFonts w:hint="eastAsia"/>
          <w:b w:val="0"/>
          <w:bCs w:val="0"/>
        </w:rPr>
        <w:t>2</w:t>
      </w:r>
      <w:r>
        <w:rPr>
          <w:b w:val="0"/>
          <w:bCs w:val="0"/>
        </w:rPr>
        <w:t>.4.1</w:t>
      </w:r>
      <w:r>
        <w:rPr>
          <w:rFonts w:hint="eastAsia"/>
          <w:b w:val="0"/>
          <w:bCs w:val="0"/>
        </w:rPr>
        <w:t>院校试点</w:t>
      </w:r>
      <w:bookmarkEnd w:id="34"/>
    </w:p>
    <w:p>
      <w:pPr>
        <w:autoSpaceDE w:val="0"/>
        <w:autoSpaceDN w:val="0"/>
        <w:spacing w:before="190"/>
        <w:ind w:left="936" w:firstLine="640" w:firstLineChars="200"/>
        <w:jc w:val="left"/>
      </w:pPr>
      <w:r>
        <w:rPr>
          <w:rFonts w:hint="eastAsia" w:ascii="仿宋" w:hAnsi="仿宋"/>
          <w:szCs w:val="32"/>
        </w:rPr>
        <w:t>从</w:t>
      </w:r>
      <w:r>
        <w:rPr>
          <w:rFonts w:ascii="仿宋" w:hAnsi="仿宋"/>
          <w:szCs w:val="32"/>
        </w:rPr>
        <w:t>1+X认证试点启动至今，学院对1+X试点工作高度重视，院党委书记、院长、教学副院长多次带队参加试点工作会议，积极争取承担协会组织的各类试点任务，并带头参加师资培训深刻领会和了解试点各项工作，以便为试点积累经验，推进认证工作更好更快发展。</w:t>
      </w:r>
      <w:r>
        <w:rPr>
          <w:rFonts w:hint="eastAsia" w:ascii="仿宋" w:hAnsi="仿宋"/>
          <w:szCs w:val="32"/>
        </w:rPr>
        <w:t>短期内</w:t>
      </w:r>
      <w:r>
        <w:rPr>
          <w:rFonts w:ascii="仿宋" w:hAnsi="仿宋"/>
          <w:szCs w:val="32"/>
        </w:rPr>
        <w:t>，学院在试点申报、会议研讨、教材编写、师资培训、考核点场地规划与建设等方面做了大量工作。</w:t>
      </w:r>
    </w:p>
    <w:p>
      <w:pPr>
        <w:pStyle w:val="4"/>
        <w:rPr>
          <w:b w:val="0"/>
          <w:bCs w:val="0"/>
        </w:rPr>
      </w:pPr>
      <w:bookmarkStart w:id="35" w:name="_Toc2881"/>
      <w:r>
        <w:rPr>
          <w:rFonts w:hint="eastAsia"/>
          <w:b w:val="0"/>
          <w:bCs w:val="0"/>
        </w:rPr>
        <w:t>2</w:t>
      </w:r>
      <w:r>
        <w:rPr>
          <w:b w:val="0"/>
          <w:bCs w:val="0"/>
        </w:rPr>
        <w:t>.4.2</w:t>
      </w:r>
      <w:r>
        <w:rPr>
          <w:rFonts w:hint="eastAsia"/>
          <w:b w:val="0"/>
          <w:bCs w:val="0"/>
        </w:rPr>
        <w:t>专业探索</w:t>
      </w:r>
      <w:bookmarkEnd w:id="35"/>
    </w:p>
    <w:p>
      <w:pPr>
        <w:autoSpaceDE w:val="0"/>
        <w:autoSpaceDN w:val="0"/>
        <w:spacing w:before="190"/>
        <w:ind w:left="936" w:firstLine="640" w:firstLineChars="200"/>
        <w:jc w:val="left"/>
        <w:rPr>
          <w:rFonts w:ascii="仿宋" w:hAnsi="仿宋"/>
          <w:szCs w:val="32"/>
        </w:rPr>
      </w:pPr>
      <w:r>
        <w:rPr>
          <w:rFonts w:hint="eastAsia" w:ascii="仿宋" w:hAnsi="仿宋"/>
          <w:szCs w:val="32"/>
        </w:rPr>
        <w:t>学院持续做好试点认证学生培训、考核点软硬件建设，学分银行试点等工作，迎接了首批</w:t>
      </w:r>
      <w:r>
        <w:rPr>
          <w:rFonts w:ascii="仿宋" w:hAnsi="仿宋"/>
          <w:szCs w:val="32"/>
        </w:rPr>
        <w:t>1+X证书考核，并以1+X认证试点为契机，大力推动专业</w:t>
      </w:r>
      <w:r>
        <w:rPr>
          <w:rFonts w:hint="eastAsia" w:ascii="仿宋" w:hAnsi="仿宋"/>
          <w:szCs w:val="32"/>
        </w:rPr>
        <w:t>“</w:t>
      </w:r>
      <w:r>
        <w:rPr>
          <w:rFonts w:ascii="仿宋" w:hAnsi="仿宋"/>
          <w:szCs w:val="32"/>
        </w:rPr>
        <w:t>三教</w:t>
      </w:r>
      <w:r>
        <w:rPr>
          <w:rFonts w:hint="eastAsia" w:ascii="仿宋" w:hAnsi="仿宋"/>
          <w:szCs w:val="32"/>
        </w:rPr>
        <w:t>”</w:t>
      </w:r>
      <w:r>
        <w:rPr>
          <w:rFonts w:ascii="仿宋" w:hAnsi="仿宋"/>
          <w:szCs w:val="32"/>
        </w:rPr>
        <w:t>改革实现。通过试点，优化人才培养方案，重构专业群课程体系，实现专业课程与职业标准相融合，形成专业基础课程+职业相关专业课程及职业资格的学分互认标准，推进“1”和“X”的有机衔接，提升职业教育质量和学生就业能力。</w:t>
      </w:r>
    </w:p>
    <w:p>
      <w:pPr>
        <w:autoSpaceDE w:val="0"/>
        <w:autoSpaceDN w:val="0"/>
        <w:spacing w:before="190"/>
        <w:ind w:left="936" w:firstLine="640" w:firstLineChars="200"/>
        <w:jc w:val="left"/>
        <w:rPr>
          <w:rFonts w:ascii="仿宋" w:hAnsi="仿宋"/>
          <w:szCs w:val="32"/>
        </w:rPr>
      </w:pPr>
      <w:r>
        <w:rPr>
          <w:rFonts w:hint="eastAsia" w:ascii="仿宋" w:hAnsi="仿宋"/>
          <w:szCs w:val="32"/>
        </w:rPr>
        <w:t>截至目前，学院“</w:t>
      </w:r>
      <w:r>
        <w:rPr>
          <w:rFonts w:ascii="仿宋" w:hAnsi="仿宋"/>
          <w:szCs w:val="32"/>
        </w:rPr>
        <w:t>1+X”证书覆盖专业由1个拓展为8个，证书数由1个拓展为5个</w:t>
      </w:r>
      <w:r>
        <w:rPr>
          <w:rFonts w:hint="eastAsia" w:ascii="仿宋" w:hAnsi="仿宋"/>
          <w:szCs w:val="32"/>
        </w:rPr>
        <w:t>。</w:t>
      </w:r>
      <w:r>
        <w:rPr>
          <w:rFonts w:ascii="Calibri" w:hAnsi="Calibri" w:cs="Calibri"/>
          <w:szCs w:val="32"/>
        </w:rPr>
        <w:t> </w:t>
      </w:r>
    </w:p>
    <w:p>
      <w:pPr>
        <w:pStyle w:val="3"/>
      </w:pPr>
      <w:bookmarkStart w:id="36" w:name="_Toc13159"/>
      <w:r>
        <w:rPr>
          <w:rFonts w:hint="eastAsia"/>
        </w:rPr>
        <w:t>2</w:t>
      </w:r>
      <w:r>
        <w:t>.5</w:t>
      </w:r>
      <w:r>
        <w:rPr>
          <w:rFonts w:hint="eastAsia"/>
        </w:rPr>
        <w:t>院校治理</w:t>
      </w:r>
      <w:bookmarkEnd w:id="36"/>
    </w:p>
    <w:p>
      <w:pPr>
        <w:pStyle w:val="4"/>
        <w:rPr>
          <w:b w:val="0"/>
          <w:bCs w:val="0"/>
        </w:rPr>
      </w:pPr>
      <w:bookmarkStart w:id="37" w:name="_Toc21540"/>
      <w:r>
        <w:rPr>
          <w:rFonts w:hint="eastAsia"/>
          <w:b w:val="0"/>
          <w:bCs w:val="0"/>
        </w:rPr>
        <w:t>2</w:t>
      </w:r>
      <w:r>
        <w:rPr>
          <w:b w:val="0"/>
          <w:bCs w:val="0"/>
        </w:rPr>
        <w:t>.5.1</w:t>
      </w:r>
      <w:r>
        <w:rPr>
          <w:rFonts w:hint="eastAsia"/>
          <w:b w:val="0"/>
          <w:bCs w:val="0"/>
        </w:rPr>
        <w:t>加强党的领导</w:t>
      </w:r>
      <w:bookmarkEnd w:id="37"/>
    </w:p>
    <w:p>
      <w:pPr>
        <w:autoSpaceDE w:val="0"/>
        <w:autoSpaceDN w:val="0"/>
        <w:spacing w:before="190"/>
        <w:ind w:left="936" w:firstLine="640" w:firstLineChars="200"/>
        <w:jc w:val="left"/>
        <w:rPr>
          <w:rFonts w:ascii="仿宋" w:hAnsi="仿宋"/>
          <w:szCs w:val="32"/>
        </w:rPr>
      </w:pPr>
      <w:r>
        <w:rPr>
          <w:rFonts w:hint="eastAsia" w:ascii="仿宋" w:hAnsi="仿宋"/>
          <w:szCs w:val="32"/>
        </w:rPr>
        <w:t>学院始终坚持党委领导下的院长负责制和民主集中制，切实履行管党治党、办学治校的主体责任，进一步完善了党委会议事规则和“首题必学习”常态化学习制度，制定了党委及班子个人落实从严治党主体责任清单。党委不畏难、不推诿，讲责任、敢担当，团结一致，坚定信心，面对困难迎难而上，为学院改革发展提供了坚强的组织保障。</w:t>
      </w:r>
    </w:p>
    <w:p>
      <w:pPr>
        <w:autoSpaceDE w:val="0"/>
        <w:autoSpaceDN w:val="0"/>
        <w:spacing w:before="190"/>
        <w:ind w:left="936" w:firstLine="640" w:firstLineChars="200"/>
        <w:jc w:val="left"/>
        <w:rPr>
          <w:rFonts w:ascii="仿宋" w:hAnsi="仿宋"/>
          <w:szCs w:val="32"/>
        </w:rPr>
      </w:pPr>
      <w:r>
        <w:rPr>
          <w:rFonts w:hint="eastAsia" w:ascii="仿宋" w:hAnsi="仿宋"/>
          <w:szCs w:val="32"/>
        </w:rPr>
        <w:t>学院</w:t>
      </w:r>
      <w:r>
        <w:rPr>
          <w:rFonts w:ascii="仿宋" w:hAnsi="仿宋"/>
          <w:szCs w:val="32"/>
        </w:rPr>
        <w:t>严格对照省文旅厅“星级党支</w:t>
      </w:r>
      <w:r>
        <w:rPr>
          <w:rFonts w:hint="eastAsia" w:ascii="仿宋" w:hAnsi="仿宋"/>
          <w:szCs w:val="32"/>
        </w:rPr>
        <w:t>部”创建要求，继续深入开展党支部标准化建设。完善二级系部党政联席会议制度，加强党对高校基层工作的全面领导。</w:t>
      </w:r>
    </w:p>
    <w:p>
      <w:pPr>
        <w:autoSpaceDE w:val="0"/>
        <w:autoSpaceDN w:val="0"/>
        <w:spacing w:before="190"/>
        <w:ind w:left="936" w:firstLine="640" w:firstLineChars="200"/>
        <w:jc w:val="left"/>
        <w:rPr>
          <w:rFonts w:ascii="仿宋" w:hAnsi="仿宋"/>
          <w:szCs w:val="32"/>
        </w:rPr>
      </w:pPr>
      <w:r>
        <w:rPr>
          <w:rFonts w:hint="eastAsia" w:ascii="仿宋" w:hAnsi="仿宋"/>
          <w:szCs w:val="32"/>
        </w:rPr>
        <w:t>今年以来组织召开了</w:t>
      </w:r>
      <w:r>
        <w:rPr>
          <w:rFonts w:ascii="仿宋" w:hAnsi="仿宋"/>
          <w:szCs w:val="32"/>
        </w:rPr>
        <w:t>30次党政联系会议、7次中心组理论学习、3次中层干部培训会、2期业余党校培训班，专题研究党建工作20余次，研究意识形态和思想政治工作10余次，党委书记带头讲了2堂党课。</w:t>
      </w:r>
      <w:r>
        <w:rPr>
          <w:rFonts w:hint="eastAsia" w:ascii="仿宋" w:hAnsi="仿宋"/>
          <w:szCs w:val="32"/>
        </w:rPr>
        <w:t>不断规范党员发展管理工作，加大在一线优秀学术骨干、优秀青年教师及品学兼优学生干部、优秀学生中发展党员的力度，今年共发展</w:t>
      </w:r>
      <w:r>
        <w:rPr>
          <w:rFonts w:ascii="仿宋" w:hAnsi="仿宋"/>
          <w:szCs w:val="32"/>
        </w:rPr>
        <w:t>4名教职工党员和65名学生党员。</w:t>
      </w:r>
    </w:p>
    <w:p>
      <w:pPr>
        <w:autoSpaceDE w:val="0"/>
        <w:autoSpaceDN w:val="0"/>
        <w:spacing w:before="190"/>
        <w:ind w:left="936" w:firstLine="640" w:firstLineChars="200"/>
        <w:jc w:val="left"/>
        <w:rPr>
          <w:rFonts w:ascii="仿宋" w:hAnsi="仿宋"/>
          <w:szCs w:val="32"/>
        </w:rPr>
      </w:pPr>
      <w:r>
        <w:rPr>
          <w:rFonts w:ascii="仿宋" w:hAnsi="仿宋"/>
          <w:szCs w:val="32"/>
        </w:rPr>
        <w:t>学院党委把党史学习教育作为一项重大政治任务，以“学史明理跟党走，践行初心建本科”为主旨，以庆祝建党一百周年、建校七十周年为契机，开展了“感党恩·母校情”庆祝建党百年、建校70周年征文活动，做好了“两优一先”表彰和“光荣在党50年”纪念章颁发。创排大型历史革命剧目花鼓戏《徐特立》，各界反响热烈。党委班子成员先后赴徐特立故居纪念馆、省美术馆、省党史陈列馆等地开展体验式党史学习教育，通过重温入党誓词、听专题讲解等活动，接受精神洗礼，传承红色基因。全院开展党史学习教育理论宣讲10场次，组织师生赴红色基地开展</w:t>
      </w:r>
      <w:r>
        <w:rPr>
          <w:rFonts w:hint="eastAsia" w:ascii="仿宋" w:hAnsi="仿宋"/>
          <w:szCs w:val="32"/>
        </w:rPr>
        <w:t>实践活动</w:t>
      </w:r>
      <w:r>
        <w:rPr>
          <w:rFonts w:ascii="仿宋" w:hAnsi="仿宋"/>
          <w:szCs w:val="32"/>
        </w:rPr>
        <w:t>20余场次，真正把明理、增信、崇德落到力行上，把学党史、悟思想的成效体现到办实事、开新局上。</w:t>
      </w:r>
    </w:p>
    <w:p>
      <w:pPr>
        <w:pStyle w:val="4"/>
        <w:rPr>
          <w:b w:val="0"/>
          <w:bCs w:val="0"/>
        </w:rPr>
      </w:pPr>
      <w:bookmarkStart w:id="38" w:name="_Toc5457"/>
      <w:r>
        <w:rPr>
          <w:rFonts w:hint="eastAsia"/>
          <w:b w:val="0"/>
          <w:bCs w:val="0"/>
        </w:rPr>
        <w:t>2</w:t>
      </w:r>
      <w:r>
        <w:rPr>
          <w:b w:val="0"/>
          <w:bCs w:val="0"/>
        </w:rPr>
        <w:t>.5.2</w:t>
      </w:r>
      <w:r>
        <w:rPr>
          <w:rFonts w:hint="eastAsia"/>
          <w:b w:val="0"/>
          <w:bCs w:val="0"/>
        </w:rPr>
        <w:t>提升治理能力</w:t>
      </w:r>
      <w:bookmarkEnd w:id="38"/>
    </w:p>
    <w:p>
      <w:pPr>
        <w:autoSpaceDE w:val="0"/>
        <w:autoSpaceDN w:val="0"/>
        <w:spacing w:before="190"/>
        <w:ind w:left="936" w:firstLine="640" w:firstLineChars="200"/>
        <w:jc w:val="left"/>
        <w:rPr>
          <w:rFonts w:ascii="仿宋" w:hAnsi="仿宋"/>
          <w:szCs w:val="32"/>
        </w:rPr>
      </w:pPr>
      <w:r>
        <w:rPr>
          <w:rFonts w:ascii="仿宋" w:hAnsi="仿宋"/>
          <w:szCs w:val="32"/>
        </w:rPr>
        <w:t>2021年，学院通过着力加强对学习贯彻习近平总书记最新讲话、指示批示精神情况的监督检查。全面贯彻执行中央、省委关于落实全面从严治党主体责任有关要求，督促学院党委履行全面从严治党主体责任，持续推进作风建设和师德师风建设。召开全院党风廉政建设工作会议，加强廉政教育，筑牢“思想防线”，组织领导干部观看警示教育片2次，学习教育系统黄惠勇案例典型2次。</w:t>
      </w:r>
    </w:p>
    <w:p>
      <w:pPr>
        <w:autoSpaceDE w:val="0"/>
        <w:autoSpaceDN w:val="0"/>
        <w:spacing w:before="190"/>
        <w:ind w:left="936" w:firstLine="640" w:firstLineChars="200"/>
        <w:jc w:val="left"/>
        <w:rPr>
          <w:rFonts w:ascii="仿宋" w:hAnsi="仿宋"/>
          <w:szCs w:val="32"/>
        </w:rPr>
      </w:pPr>
      <w:r>
        <w:rPr>
          <w:rFonts w:ascii="仿宋" w:hAnsi="仿宋"/>
          <w:szCs w:val="32"/>
        </w:rPr>
        <w:t>推动政治监督具体化、常态化，织密“监督之网”，党委书记对重要岗位工作人员开展提醒谈话达50余次。依法办理信访举报30余件，对师生员工关切的问题做到有问必答，同时通过信息公开，加强对师生关切的关键事项、重要事项、关乎切身利益事项进行公开、公示，自觉接受大家的共同监督，开展“我为群众办实事”事项20余项次，覆盖师生7000余人。进行内控体系重建，修改完善制度150项，不断提升治理能力，真正实现制度管人、管事</w:t>
      </w:r>
      <w:r>
        <w:rPr>
          <w:rFonts w:hint="eastAsia" w:ascii="仿宋" w:hAnsi="仿宋"/>
          <w:szCs w:val="32"/>
        </w:rPr>
        <w:t>。</w:t>
      </w:r>
    </w:p>
    <w:p>
      <w:pPr>
        <w:pStyle w:val="4"/>
        <w:rPr>
          <w:b w:val="0"/>
          <w:bCs w:val="0"/>
        </w:rPr>
      </w:pPr>
      <w:bookmarkStart w:id="39" w:name="_Toc23248"/>
      <w:r>
        <w:rPr>
          <w:rFonts w:hint="eastAsia"/>
          <w:b w:val="0"/>
          <w:bCs w:val="0"/>
        </w:rPr>
        <w:t>2</w:t>
      </w:r>
      <w:r>
        <w:rPr>
          <w:b w:val="0"/>
          <w:bCs w:val="0"/>
        </w:rPr>
        <w:t>.5.3</w:t>
      </w:r>
      <w:r>
        <w:rPr>
          <w:rFonts w:hint="eastAsia"/>
          <w:b w:val="0"/>
          <w:bCs w:val="0"/>
        </w:rPr>
        <w:t>关键领域改革</w:t>
      </w:r>
      <w:bookmarkEnd w:id="39"/>
    </w:p>
    <w:p>
      <w:pPr>
        <w:autoSpaceDE w:val="0"/>
        <w:autoSpaceDN w:val="0"/>
        <w:spacing w:before="190"/>
        <w:ind w:left="936" w:firstLine="640" w:firstLineChars="200"/>
        <w:jc w:val="left"/>
        <w:rPr>
          <w:rFonts w:ascii="仿宋" w:hAnsi="仿宋"/>
          <w:szCs w:val="32"/>
        </w:rPr>
      </w:pPr>
      <w:r>
        <w:rPr>
          <w:rFonts w:ascii="仿宋" w:hAnsi="仿宋"/>
          <w:szCs w:val="32"/>
        </w:rPr>
        <w:t>2021年，学院不断加强内涵建设</w:t>
      </w:r>
      <w:r>
        <w:rPr>
          <w:rFonts w:hint="eastAsia" w:ascii="仿宋" w:hAnsi="仿宋"/>
          <w:szCs w:val="32"/>
        </w:rPr>
        <w:t>。学院职称改革领导小组办公室修订出台了</w:t>
      </w:r>
      <w:r>
        <w:rPr>
          <w:rFonts w:ascii="仿宋" w:hAnsi="仿宋"/>
          <w:szCs w:val="32"/>
        </w:rPr>
        <w:t>《湖南艺术职业学院2021年教师系列职称评审方案》</w:t>
      </w:r>
      <w:r>
        <w:rPr>
          <w:rFonts w:hint="eastAsia" w:ascii="仿宋" w:hAnsi="仿宋"/>
          <w:szCs w:val="32"/>
        </w:rPr>
        <w:t>，</w:t>
      </w:r>
      <w:r>
        <w:rPr>
          <w:rFonts w:ascii="仿宋" w:hAnsi="仿宋"/>
          <w:szCs w:val="32"/>
        </w:rPr>
        <w:t>重新制定</w:t>
      </w:r>
      <w:r>
        <w:rPr>
          <w:rFonts w:hint="eastAsia" w:ascii="仿宋" w:hAnsi="仿宋"/>
          <w:szCs w:val="32"/>
        </w:rPr>
        <w:t>了</w:t>
      </w:r>
      <w:r>
        <w:rPr>
          <w:rFonts w:ascii="仿宋" w:hAnsi="仿宋"/>
          <w:szCs w:val="32"/>
        </w:rPr>
        <w:t>《湖南艺术职业学院“双师型”教师认定标准》</w:t>
      </w:r>
      <w:r>
        <w:rPr>
          <w:rFonts w:hint="eastAsia" w:ascii="仿宋" w:hAnsi="仿宋"/>
          <w:szCs w:val="32"/>
        </w:rPr>
        <w:t>，为全院教职员工铺就了职称评审渠道，并以职称评审指导和引导教师的全方位发展。</w:t>
      </w:r>
    </w:p>
    <w:p>
      <w:pPr>
        <w:pStyle w:val="3"/>
      </w:pPr>
      <w:bookmarkStart w:id="40" w:name="_Toc21936"/>
      <w:r>
        <w:rPr>
          <w:rFonts w:hint="eastAsia"/>
        </w:rPr>
        <w:t>2</w:t>
      </w:r>
      <w:r>
        <w:t>.6</w:t>
      </w:r>
      <w:r>
        <w:rPr>
          <w:rFonts w:hint="eastAsia"/>
        </w:rPr>
        <w:t>教师队伍</w:t>
      </w:r>
      <w:bookmarkEnd w:id="40"/>
    </w:p>
    <w:p>
      <w:pPr>
        <w:pStyle w:val="4"/>
        <w:rPr>
          <w:b w:val="0"/>
          <w:bCs w:val="0"/>
        </w:rPr>
      </w:pPr>
      <w:bookmarkStart w:id="41" w:name="_Toc4013"/>
      <w:r>
        <w:rPr>
          <w:rFonts w:hint="eastAsia"/>
          <w:b w:val="0"/>
          <w:bCs w:val="0"/>
        </w:rPr>
        <w:t>2</w:t>
      </w:r>
      <w:r>
        <w:rPr>
          <w:b w:val="0"/>
          <w:bCs w:val="0"/>
        </w:rPr>
        <w:t>.6.1</w:t>
      </w:r>
      <w:r>
        <w:rPr>
          <w:rFonts w:hint="eastAsia"/>
          <w:b w:val="0"/>
          <w:bCs w:val="0"/>
        </w:rPr>
        <w:t>师资队伍结构持续优化</w:t>
      </w:r>
      <w:bookmarkEnd w:id="41"/>
    </w:p>
    <w:p>
      <w:pPr>
        <w:autoSpaceDE w:val="0"/>
        <w:autoSpaceDN w:val="0"/>
        <w:spacing w:before="190"/>
        <w:ind w:left="936" w:firstLine="640" w:firstLineChars="200"/>
        <w:jc w:val="left"/>
        <w:rPr>
          <w:rFonts w:ascii="仿宋" w:hAnsi="仿宋"/>
          <w:szCs w:val="32"/>
        </w:rPr>
      </w:pPr>
      <w:r>
        <w:rPr>
          <w:rFonts w:hint="eastAsia" w:ascii="仿宋" w:hAnsi="仿宋"/>
          <w:szCs w:val="32"/>
        </w:rPr>
        <w:t>学院现有教职工583人，专任教师35</w:t>
      </w:r>
      <w:r>
        <w:rPr>
          <w:rFonts w:ascii="仿宋" w:hAnsi="仿宋"/>
          <w:szCs w:val="32"/>
        </w:rPr>
        <w:t>5</w:t>
      </w:r>
      <w:r>
        <w:rPr>
          <w:rFonts w:hint="eastAsia" w:ascii="仿宋" w:hAnsi="仿宋"/>
          <w:szCs w:val="32"/>
        </w:rPr>
        <w:t>人，兼职教师33人。获得硕士以上学位的教师311人，占教职工人数比为53.3%。高级职称教师1</w:t>
      </w:r>
      <w:r>
        <w:rPr>
          <w:rFonts w:ascii="仿宋" w:hAnsi="仿宋"/>
          <w:szCs w:val="32"/>
        </w:rPr>
        <w:t>11</w:t>
      </w:r>
      <w:r>
        <w:rPr>
          <w:rFonts w:hint="eastAsia" w:ascii="仿宋" w:hAnsi="仿宋"/>
          <w:szCs w:val="32"/>
        </w:rPr>
        <w:t>人，占专任教师的比例为3</w:t>
      </w:r>
      <w:r>
        <w:rPr>
          <w:rFonts w:ascii="仿宋" w:hAnsi="仿宋"/>
          <w:szCs w:val="32"/>
        </w:rPr>
        <w:t>1.27</w:t>
      </w:r>
      <w:r>
        <w:rPr>
          <w:rFonts w:hint="eastAsia" w:ascii="仿宋" w:hAnsi="仿宋"/>
          <w:szCs w:val="32"/>
        </w:rPr>
        <w:t>%。拥有教授16人，副教授55人。另有一级演员4人，一级演奏员3人，一级舞美设计师2人，一级作曲1人，一级指挥1人。</w:t>
      </w:r>
    </w:p>
    <w:p>
      <w:pPr>
        <w:spacing w:line="360" w:lineRule="auto"/>
        <w:ind w:firstLine="420"/>
        <w:jc w:val="center"/>
        <w:rPr>
          <w:rFonts w:hint="eastAsia" w:ascii="楷体" w:hAnsi="楷体" w:eastAsia="楷体"/>
          <w:b/>
          <w:bCs/>
          <w:sz w:val="28"/>
          <w:szCs w:val="28"/>
        </w:rPr>
      </w:pPr>
    </w:p>
    <w:p>
      <w:pPr>
        <w:spacing w:line="360" w:lineRule="auto"/>
        <w:ind w:firstLine="420"/>
        <w:jc w:val="center"/>
        <w:rPr>
          <w:rFonts w:hint="eastAsia" w:ascii="楷体" w:hAnsi="楷体" w:eastAsia="楷体"/>
          <w:b/>
          <w:bCs/>
          <w:sz w:val="28"/>
          <w:szCs w:val="28"/>
        </w:rPr>
      </w:pPr>
    </w:p>
    <w:p>
      <w:pPr>
        <w:spacing w:line="360" w:lineRule="auto"/>
        <w:ind w:firstLine="420"/>
        <w:jc w:val="center"/>
        <w:rPr>
          <w:rFonts w:ascii="楷体" w:hAnsi="楷体" w:eastAsia="楷体"/>
          <w:b/>
          <w:bCs/>
          <w:sz w:val="28"/>
          <w:szCs w:val="28"/>
        </w:rPr>
      </w:pPr>
      <w:r>
        <w:rPr>
          <w:rFonts w:hint="eastAsia" w:ascii="楷体" w:hAnsi="楷体" w:eastAsia="楷体"/>
          <w:b/>
          <w:bCs/>
          <w:sz w:val="28"/>
          <w:szCs w:val="28"/>
        </w:rPr>
        <w:t>表2</w:t>
      </w:r>
      <w:r>
        <w:rPr>
          <w:rFonts w:ascii="楷体" w:hAnsi="楷体" w:eastAsia="楷体"/>
          <w:b/>
          <w:bCs/>
          <w:sz w:val="28"/>
          <w:szCs w:val="28"/>
        </w:rPr>
        <w:t xml:space="preserve">-3 </w:t>
      </w:r>
      <w:r>
        <w:rPr>
          <w:rFonts w:hint="eastAsia" w:ascii="楷体" w:hAnsi="楷体" w:eastAsia="楷体"/>
          <w:b/>
          <w:bCs/>
          <w:sz w:val="28"/>
          <w:szCs w:val="28"/>
        </w:rPr>
        <w:t>学院部分高级职称人数情况表</w:t>
      </w:r>
    </w:p>
    <w:p>
      <w:pPr>
        <w:spacing w:line="360" w:lineRule="auto"/>
        <w:ind w:right="840" w:firstLine="420"/>
        <w:jc w:val="right"/>
        <w:rPr>
          <w:rFonts w:ascii="Calibri" w:hAnsi="Calibri" w:eastAsia="宋体"/>
          <w:sz w:val="21"/>
        </w:rPr>
      </w:pPr>
      <w:r>
        <w:rPr>
          <w:rFonts w:hint="eastAsia" w:ascii="宋体" w:hAnsi="宋体" w:eastAsia="宋体"/>
          <w:sz w:val="21"/>
        </w:rPr>
        <w:t>单位：人</w:t>
      </w:r>
    </w:p>
    <w:tbl>
      <w:tblPr>
        <w:tblStyle w:val="12"/>
        <w:tblW w:w="0" w:type="auto"/>
        <w:jc w:val="cente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autofit"/>
        <w:tblCellMar>
          <w:top w:w="0" w:type="dxa"/>
          <w:left w:w="108" w:type="dxa"/>
          <w:bottom w:w="0" w:type="dxa"/>
          <w:right w:w="108" w:type="dxa"/>
        </w:tblCellMar>
      </w:tblPr>
      <w:tblGrid>
        <w:gridCol w:w="778"/>
        <w:gridCol w:w="674"/>
        <w:gridCol w:w="860"/>
        <w:gridCol w:w="1100"/>
        <w:gridCol w:w="1236"/>
        <w:gridCol w:w="1578"/>
        <w:gridCol w:w="1035"/>
        <w:gridCol w:w="1035"/>
      </w:tblGrid>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jc w:val="center"/>
        </w:trPr>
        <w:tc>
          <w:tcPr>
            <w:tcW w:w="778" w:type="dxa"/>
            <w:tcBorders>
              <w:bottom w:val="single" w:color="666666" w:sz="12" w:space="0"/>
            </w:tcBorders>
            <w:shd w:val="clear" w:color="auto" w:fill="auto"/>
          </w:tcPr>
          <w:p>
            <w:pPr>
              <w:spacing w:line="360" w:lineRule="auto"/>
              <w:jc w:val="center"/>
              <w:rPr>
                <w:rFonts w:ascii="宋体" w:hAnsi="宋体" w:eastAsia="宋体"/>
                <w:b/>
                <w:bCs/>
                <w:kern w:val="0"/>
                <w:sz w:val="18"/>
                <w:szCs w:val="18"/>
              </w:rPr>
            </w:pPr>
            <w:r>
              <w:rPr>
                <w:rFonts w:hint="eastAsia" w:ascii="宋体" w:hAnsi="宋体" w:eastAsia="宋体"/>
                <w:b/>
                <w:bCs/>
                <w:kern w:val="0"/>
                <w:sz w:val="18"/>
                <w:szCs w:val="18"/>
              </w:rPr>
              <w:t>类别</w:t>
            </w:r>
          </w:p>
        </w:tc>
        <w:tc>
          <w:tcPr>
            <w:tcW w:w="674" w:type="dxa"/>
            <w:tcBorders>
              <w:bottom w:val="single" w:color="666666" w:sz="12" w:space="0"/>
            </w:tcBorders>
            <w:shd w:val="clear" w:color="auto" w:fill="auto"/>
          </w:tcPr>
          <w:p>
            <w:pPr>
              <w:spacing w:line="360" w:lineRule="auto"/>
              <w:jc w:val="center"/>
              <w:rPr>
                <w:rFonts w:ascii="宋体" w:hAnsi="宋体" w:eastAsia="宋体"/>
                <w:b/>
                <w:bCs/>
                <w:kern w:val="0"/>
                <w:sz w:val="18"/>
                <w:szCs w:val="18"/>
              </w:rPr>
            </w:pPr>
            <w:r>
              <w:rPr>
                <w:rFonts w:hint="eastAsia" w:ascii="宋体" w:hAnsi="宋体" w:eastAsia="宋体"/>
                <w:b/>
                <w:bCs/>
                <w:kern w:val="0"/>
                <w:sz w:val="18"/>
                <w:szCs w:val="18"/>
              </w:rPr>
              <w:t>教授</w:t>
            </w:r>
          </w:p>
        </w:tc>
        <w:tc>
          <w:tcPr>
            <w:tcW w:w="860" w:type="dxa"/>
            <w:tcBorders>
              <w:bottom w:val="single" w:color="666666" w:sz="12" w:space="0"/>
            </w:tcBorders>
            <w:shd w:val="clear" w:color="auto" w:fill="auto"/>
          </w:tcPr>
          <w:p>
            <w:pPr>
              <w:spacing w:line="360" w:lineRule="auto"/>
              <w:jc w:val="center"/>
              <w:rPr>
                <w:rFonts w:ascii="宋体" w:hAnsi="宋体" w:eastAsia="宋体"/>
                <w:b/>
                <w:bCs/>
                <w:kern w:val="0"/>
                <w:sz w:val="18"/>
                <w:szCs w:val="18"/>
              </w:rPr>
            </w:pPr>
            <w:r>
              <w:rPr>
                <w:rFonts w:hint="eastAsia" w:ascii="宋体" w:hAnsi="宋体" w:eastAsia="宋体"/>
                <w:b/>
                <w:bCs/>
                <w:kern w:val="0"/>
                <w:sz w:val="18"/>
                <w:szCs w:val="18"/>
              </w:rPr>
              <w:t>副教授</w:t>
            </w:r>
          </w:p>
        </w:tc>
        <w:tc>
          <w:tcPr>
            <w:tcW w:w="1100" w:type="dxa"/>
            <w:tcBorders>
              <w:bottom w:val="single" w:color="666666" w:sz="12" w:space="0"/>
            </w:tcBorders>
            <w:shd w:val="clear" w:color="auto" w:fill="auto"/>
          </w:tcPr>
          <w:p>
            <w:pPr>
              <w:spacing w:line="360" w:lineRule="auto"/>
              <w:jc w:val="center"/>
              <w:rPr>
                <w:rFonts w:ascii="宋体" w:hAnsi="宋体" w:eastAsia="宋体"/>
                <w:b/>
                <w:bCs/>
                <w:kern w:val="0"/>
                <w:sz w:val="18"/>
                <w:szCs w:val="18"/>
              </w:rPr>
            </w:pPr>
            <w:r>
              <w:rPr>
                <w:rFonts w:hint="eastAsia" w:ascii="宋体" w:hAnsi="宋体" w:eastAsia="宋体"/>
                <w:b/>
                <w:bCs/>
                <w:kern w:val="0"/>
                <w:sz w:val="18"/>
                <w:szCs w:val="18"/>
              </w:rPr>
              <w:t>一级演员</w:t>
            </w:r>
          </w:p>
        </w:tc>
        <w:tc>
          <w:tcPr>
            <w:tcW w:w="1236" w:type="dxa"/>
            <w:tcBorders>
              <w:bottom w:val="single" w:color="666666" w:sz="12" w:space="0"/>
            </w:tcBorders>
            <w:shd w:val="clear" w:color="auto" w:fill="auto"/>
          </w:tcPr>
          <w:p>
            <w:pPr>
              <w:spacing w:line="360" w:lineRule="auto"/>
              <w:jc w:val="center"/>
              <w:rPr>
                <w:rFonts w:ascii="宋体" w:hAnsi="宋体" w:eastAsia="宋体"/>
                <w:b/>
                <w:bCs/>
                <w:kern w:val="0"/>
                <w:sz w:val="18"/>
                <w:szCs w:val="18"/>
              </w:rPr>
            </w:pPr>
            <w:r>
              <w:rPr>
                <w:rFonts w:hint="eastAsia" w:ascii="宋体" w:hAnsi="宋体" w:eastAsia="宋体"/>
                <w:b/>
                <w:bCs/>
                <w:kern w:val="0"/>
                <w:sz w:val="18"/>
                <w:szCs w:val="18"/>
              </w:rPr>
              <w:t>一级演奏员</w:t>
            </w:r>
          </w:p>
        </w:tc>
        <w:tc>
          <w:tcPr>
            <w:tcW w:w="1578" w:type="dxa"/>
            <w:tcBorders>
              <w:bottom w:val="single" w:color="666666" w:sz="12" w:space="0"/>
            </w:tcBorders>
            <w:shd w:val="clear" w:color="auto" w:fill="auto"/>
          </w:tcPr>
          <w:p>
            <w:pPr>
              <w:spacing w:line="360" w:lineRule="auto"/>
              <w:jc w:val="center"/>
              <w:rPr>
                <w:rFonts w:ascii="宋体" w:hAnsi="宋体" w:eastAsia="宋体"/>
                <w:b/>
                <w:bCs/>
                <w:kern w:val="0"/>
                <w:sz w:val="18"/>
                <w:szCs w:val="18"/>
              </w:rPr>
            </w:pPr>
            <w:r>
              <w:rPr>
                <w:rFonts w:hint="eastAsia" w:ascii="宋体" w:hAnsi="宋体" w:eastAsia="宋体"/>
                <w:b/>
                <w:bCs/>
                <w:kern w:val="0"/>
                <w:sz w:val="18"/>
                <w:szCs w:val="18"/>
              </w:rPr>
              <w:t>一级舞美设计师</w:t>
            </w:r>
          </w:p>
        </w:tc>
        <w:tc>
          <w:tcPr>
            <w:tcW w:w="1035" w:type="dxa"/>
            <w:tcBorders>
              <w:bottom w:val="single" w:color="666666" w:sz="12" w:space="0"/>
            </w:tcBorders>
            <w:shd w:val="clear" w:color="auto" w:fill="auto"/>
          </w:tcPr>
          <w:p>
            <w:pPr>
              <w:spacing w:line="360" w:lineRule="auto"/>
              <w:jc w:val="center"/>
              <w:rPr>
                <w:rFonts w:ascii="宋体" w:hAnsi="宋体" w:eastAsia="宋体"/>
                <w:b/>
                <w:bCs/>
                <w:kern w:val="0"/>
                <w:sz w:val="18"/>
                <w:szCs w:val="18"/>
              </w:rPr>
            </w:pPr>
            <w:r>
              <w:rPr>
                <w:rFonts w:hint="eastAsia" w:ascii="宋体" w:hAnsi="宋体" w:eastAsia="宋体"/>
                <w:b/>
                <w:bCs/>
                <w:kern w:val="0"/>
                <w:sz w:val="18"/>
                <w:szCs w:val="18"/>
              </w:rPr>
              <w:t>一级作曲</w:t>
            </w:r>
          </w:p>
        </w:tc>
        <w:tc>
          <w:tcPr>
            <w:tcW w:w="1035" w:type="dxa"/>
            <w:tcBorders>
              <w:bottom w:val="single" w:color="666666" w:sz="12" w:space="0"/>
            </w:tcBorders>
            <w:shd w:val="clear" w:color="auto" w:fill="auto"/>
          </w:tcPr>
          <w:p>
            <w:pPr>
              <w:spacing w:line="360" w:lineRule="auto"/>
              <w:jc w:val="center"/>
              <w:rPr>
                <w:rFonts w:ascii="宋体" w:hAnsi="宋体" w:eastAsia="宋体"/>
                <w:b/>
                <w:bCs/>
                <w:kern w:val="0"/>
                <w:sz w:val="18"/>
                <w:szCs w:val="18"/>
              </w:rPr>
            </w:pPr>
            <w:r>
              <w:rPr>
                <w:rFonts w:hint="eastAsia" w:ascii="宋体" w:hAnsi="宋体" w:eastAsia="宋体"/>
                <w:b/>
                <w:bCs/>
                <w:kern w:val="0"/>
                <w:sz w:val="18"/>
                <w:szCs w:val="18"/>
              </w:rPr>
              <w:t>一级指挥</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jc w:val="center"/>
        </w:trPr>
        <w:tc>
          <w:tcPr>
            <w:tcW w:w="778" w:type="dxa"/>
            <w:shd w:val="clear" w:color="auto" w:fill="auto"/>
          </w:tcPr>
          <w:p>
            <w:pPr>
              <w:spacing w:line="360" w:lineRule="auto"/>
              <w:jc w:val="center"/>
              <w:rPr>
                <w:rFonts w:ascii="宋体" w:hAnsi="宋体" w:eastAsia="宋体"/>
                <w:b/>
                <w:bCs/>
                <w:kern w:val="0"/>
                <w:sz w:val="18"/>
                <w:szCs w:val="18"/>
              </w:rPr>
            </w:pPr>
            <w:r>
              <w:rPr>
                <w:rFonts w:hint="eastAsia" w:ascii="宋体" w:hAnsi="宋体" w:eastAsia="宋体"/>
                <w:b/>
                <w:bCs/>
                <w:kern w:val="0"/>
                <w:sz w:val="18"/>
                <w:szCs w:val="18"/>
              </w:rPr>
              <w:t>人数</w:t>
            </w:r>
          </w:p>
        </w:tc>
        <w:tc>
          <w:tcPr>
            <w:tcW w:w="674" w:type="dxa"/>
            <w:shd w:val="clear" w:color="auto" w:fill="auto"/>
          </w:tcPr>
          <w:p>
            <w:pPr>
              <w:spacing w:line="360" w:lineRule="auto"/>
              <w:jc w:val="center"/>
              <w:rPr>
                <w:rFonts w:ascii="宋体" w:hAnsi="宋体" w:eastAsia="宋体"/>
                <w:kern w:val="0"/>
                <w:sz w:val="18"/>
                <w:szCs w:val="18"/>
              </w:rPr>
            </w:pPr>
            <w:r>
              <w:rPr>
                <w:rFonts w:hint="eastAsia" w:ascii="宋体" w:hAnsi="宋体" w:eastAsia="宋体"/>
                <w:kern w:val="0"/>
                <w:sz w:val="18"/>
                <w:szCs w:val="18"/>
              </w:rPr>
              <w:t>16</w:t>
            </w:r>
          </w:p>
        </w:tc>
        <w:tc>
          <w:tcPr>
            <w:tcW w:w="860" w:type="dxa"/>
            <w:shd w:val="clear" w:color="auto" w:fill="auto"/>
          </w:tcPr>
          <w:p>
            <w:pPr>
              <w:spacing w:line="360" w:lineRule="auto"/>
              <w:jc w:val="center"/>
              <w:rPr>
                <w:rFonts w:ascii="宋体" w:hAnsi="宋体" w:eastAsia="宋体"/>
                <w:kern w:val="0"/>
                <w:sz w:val="18"/>
                <w:szCs w:val="18"/>
              </w:rPr>
            </w:pPr>
            <w:r>
              <w:rPr>
                <w:rFonts w:hint="eastAsia" w:ascii="宋体" w:hAnsi="宋体" w:eastAsia="宋体"/>
                <w:kern w:val="0"/>
                <w:sz w:val="18"/>
                <w:szCs w:val="18"/>
              </w:rPr>
              <w:t>55</w:t>
            </w:r>
          </w:p>
        </w:tc>
        <w:tc>
          <w:tcPr>
            <w:tcW w:w="1100" w:type="dxa"/>
            <w:shd w:val="clear" w:color="auto" w:fill="auto"/>
          </w:tcPr>
          <w:p>
            <w:pPr>
              <w:spacing w:line="360" w:lineRule="auto"/>
              <w:jc w:val="center"/>
              <w:rPr>
                <w:rFonts w:ascii="宋体" w:hAnsi="宋体" w:eastAsia="宋体"/>
                <w:kern w:val="0"/>
                <w:sz w:val="18"/>
                <w:szCs w:val="18"/>
              </w:rPr>
            </w:pPr>
            <w:r>
              <w:rPr>
                <w:rFonts w:hint="eastAsia" w:ascii="宋体" w:hAnsi="宋体" w:eastAsia="宋体"/>
                <w:kern w:val="0"/>
                <w:sz w:val="18"/>
                <w:szCs w:val="18"/>
              </w:rPr>
              <w:t>4</w:t>
            </w:r>
          </w:p>
        </w:tc>
        <w:tc>
          <w:tcPr>
            <w:tcW w:w="1236" w:type="dxa"/>
            <w:shd w:val="clear" w:color="auto" w:fill="auto"/>
          </w:tcPr>
          <w:p>
            <w:pPr>
              <w:spacing w:line="360" w:lineRule="auto"/>
              <w:jc w:val="center"/>
              <w:rPr>
                <w:rFonts w:ascii="宋体" w:hAnsi="宋体" w:eastAsia="宋体"/>
                <w:kern w:val="0"/>
                <w:sz w:val="18"/>
                <w:szCs w:val="18"/>
              </w:rPr>
            </w:pPr>
            <w:r>
              <w:rPr>
                <w:rFonts w:hint="eastAsia" w:ascii="宋体" w:hAnsi="宋体" w:eastAsia="宋体"/>
                <w:kern w:val="0"/>
                <w:sz w:val="18"/>
                <w:szCs w:val="18"/>
              </w:rPr>
              <w:t>3</w:t>
            </w:r>
          </w:p>
        </w:tc>
        <w:tc>
          <w:tcPr>
            <w:tcW w:w="1578" w:type="dxa"/>
            <w:shd w:val="clear" w:color="auto" w:fill="auto"/>
          </w:tcPr>
          <w:p>
            <w:pPr>
              <w:spacing w:line="360" w:lineRule="auto"/>
              <w:jc w:val="center"/>
              <w:rPr>
                <w:rFonts w:ascii="宋体" w:hAnsi="宋体" w:eastAsia="宋体"/>
                <w:kern w:val="0"/>
                <w:sz w:val="18"/>
                <w:szCs w:val="18"/>
              </w:rPr>
            </w:pPr>
            <w:r>
              <w:rPr>
                <w:rFonts w:hint="eastAsia" w:ascii="宋体" w:hAnsi="宋体" w:eastAsia="宋体"/>
                <w:kern w:val="0"/>
                <w:sz w:val="18"/>
                <w:szCs w:val="18"/>
              </w:rPr>
              <w:t>2</w:t>
            </w:r>
          </w:p>
        </w:tc>
        <w:tc>
          <w:tcPr>
            <w:tcW w:w="1035" w:type="dxa"/>
            <w:shd w:val="clear" w:color="auto" w:fill="auto"/>
          </w:tcPr>
          <w:p>
            <w:pPr>
              <w:spacing w:line="360" w:lineRule="auto"/>
              <w:jc w:val="center"/>
              <w:rPr>
                <w:rFonts w:ascii="宋体" w:hAnsi="宋体" w:eastAsia="宋体"/>
                <w:kern w:val="0"/>
                <w:sz w:val="18"/>
                <w:szCs w:val="18"/>
              </w:rPr>
            </w:pPr>
            <w:r>
              <w:rPr>
                <w:rFonts w:hint="eastAsia" w:ascii="宋体" w:hAnsi="宋体" w:eastAsia="宋体"/>
                <w:kern w:val="0"/>
                <w:sz w:val="18"/>
                <w:szCs w:val="18"/>
              </w:rPr>
              <w:t>1</w:t>
            </w:r>
          </w:p>
        </w:tc>
        <w:tc>
          <w:tcPr>
            <w:tcW w:w="1035" w:type="dxa"/>
            <w:shd w:val="clear" w:color="auto" w:fill="auto"/>
          </w:tcPr>
          <w:p>
            <w:pPr>
              <w:spacing w:line="360" w:lineRule="auto"/>
              <w:jc w:val="center"/>
              <w:rPr>
                <w:rFonts w:ascii="宋体" w:hAnsi="宋体" w:eastAsia="宋体"/>
                <w:kern w:val="0"/>
                <w:sz w:val="18"/>
                <w:szCs w:val="18"/>
              </w:rPr>
            </w:pPr>
            <w:r>
              <w:rPr>
                <w:rFonts w:hint="eastAsia" w:ascii="宋体" w:hAnsi="宋体" w:eastAsia="宋体"/>
                <w:kern w:val="0"/>
                <w:sz w:val="18"/>
                <w:szCs w:val="18"/>
              </w:rPr>
              <w:t>1</w:t>
            </w:r>
          </w:p>
        </w:tc>
      </w:tr>
    </w:tbl>
    <w:p>
      <w:pPr>
        <w:jc w:val="right"/>
        <w:rPr>
          <w:rFonts w:ascii="楷体" w:hAnsi="楷体" w:eastAsia="楷体"/>
          <w:sz w:val="24"/>
          <w:szCs w:val="24"/>
        </w:rPr>
      </w:pPr>
      <w:r>
        <w:rPr>
          <w:rFonts w:hint="eastAsia" w:ascii="楷体" w:hAnsi="楷体" w:eastAsia="楷体"/>
          <w:sz w:val="24"/>
          <w:szCs w:val="24"/>
        </w:rPr>
        <w:t>数据来源：湖南艺术职业学院组织人事处</w:t>
      </w:r>
    </w:p>
    <w:p>
      <w:pPr>
        <w:autoSpaceDE w:val="0"/>
        <w:autoSpaceDN w:val="0"/>
        <w:spacing w:before="190"/>
        <w:ind w:left="936" w:firstLine="640" w:firstLineChars="200"/>
        <w:jc w:val="left"/>
        <w:rPr>
          <w:rFonts w:ascii="仿宋" w:hAnsi="仿宋"/>
          <w:szCs w:val="32"/>
        </w:rPr>
      </w:pPr>
      <w:r>
        <w:rPr>
          <w:rFonts w:hint="eastAsia" w:ascii="仿宋" w:hAnsi="仿宋"/>
          <w:szCs w:val="32"/>
        </w:rPr>
        <w:t>在专任教师中，“双师型”教师有183人，占专任教师的比例为</w:t>
      </w:r>
      <w:r>
        <w:rPr>
          <w:rFonts w:ascii="仿宋" w:hAnsi="仿宋"/>
          <w:szCs w:val="32"/>
        </w:rPr>
        <w:t>51.55</w:t>
      </w:r>
      <w:r>
        <w:rPr>
          <w:rFonts w:hint="eastAsia" w:ascii="仿宋" w:hAnsi="仿宋"/>
          <w:szCs w:val="32"/>
        </w:rPr>
        <w:t>%。另有享受国务院特殊津贴、入选文化部优秀专家、教育部课程思政教学名师、国家广电总局青年人才、国家产业导师资源库技能大师、文旅部全国百名优秀专兼职戏曲教师、湖南省121人才工程、湖南省文艺人才扶持“三百工程”等多人。</w:t>
      </w:r>
    </w:p>
    <w:p>
      <w:pPr>
        <w:autoSpaceDE w:val="0"/>
        <w:autoSpaceDN w:val="0"/>
        <w:spacing w:before="190"/>
        <w:ind w:left="936" w:firstLine="640" w:firstLineChars="200"/>
        <w:jc w:val="left"/>
        <w:rPr>
          <w:rFonts w:ascii="Calibri" w:hAnsi="Calibri" w:eastAsia="宋体"/>
          <w:sz w:val="21"/>
        </w:rPr>
      </w:pPr>
      <w:r>
        <w:rPr>
          <w:rFonts w:hint="eastAsia" w:ascii="仿宋" w:hAnsi="仿宋"/>
          <w:szCs w:val="32"/>
        </w:rPr>
        <w:t>今年，学院还</w:t>
      </w:r>
      <w:r>
        <w:rPr>
          <w:rFonts w:ascii="仿宋" w:hAnsi="仿宋"/>
          <w:szCs w:val="32"/>
        </w:rPr>
        <w:t>派出</w:t>
      </w:r>
      <w:r>
        <w:rPr>
          <w:rFonts w:hint="eastAsia" w:ascii="仿宋" w:hAnsi="仿宋"/>
          <w:szCs w:val="32"/>
        </w:rPr>
        <w:t>1</w:t>
      </w:r>
      <w:r>
        <w:rPr>
          <w:rFonts w:ascii="仿宋" w:hAnsi="仿宋"/>
          <w:szCs w:val="32"/>
        </w:rPr>
        <w:t>0名表演类专业教师赴经济发达地区--广州星海音乐学院交流学习，提升专业教师的综合素质。</w:t>
      </w:r>
      <w:r>
        <w:rPr>
          <w:rFonts w:hint="eastAsia" w:ascii="仿宋" w:hAnsi="仿宋"/>
          <w:szCs w:val="32"/>
        </w:rPr>
        <w:t>青年教师在行业中崭露头角。</w:t>
      </w:r>
    </w:p>
    <w:p>
      <w:pPr>
        <w:pStyle w:val="4"/>
        <w:rPr>
          <w:b w:val="0"/>
          <w:bCs w:val="0"/>
        </w:rPr>
      </w:pPr>
      <w:bookmarkStart w:id="42" w:name="_Toc31692"/>
      <w:r>
        <w:rPr>
          <w:b w:val="0"/>
          <w:bCs w:val="0"/>
        </w:rPr>
        <w:t>2.6.2</w:t>
      </w:r>
      <w:r>
        <w:rPr>
          <w:rFonts w:hint="eastAsia"/>
          <w:b w:val="0"/>
          <w:bCs w:val="0"/>
        </w:rPr>
        <w:t>切实推进“双师型”教师培养培训</w:t>
      </w:r>
      <w:bookmarkEnd w:id="42"/>
    </w:p>
    <w:p>
      <w:pPr>
        <w:autoSpaceDE w:val="0"/>
        <w:autoSpaceDN w:val="0"/>
        <w:spacing w:before="190"/>
        <w:ind w:left="936" w:firstLine="640" w:firstLineChars="200"/>
        <w:jc w:val="left"/>
        <w:rPr>
          <w:rFonts w:ascii="仿宋" w:hAnsi="仿宋"/>
          <w:szCs w:val="32"/>
        </w:rPr>
      </w:pPr>
      <w:r>
        <w:rPr>
          <w:rFonts w:ascii="仿宋" w:hAnsi="仿宋"/>
          <w:szCs w:val="32"/>
        </w:rPr>
        <w:t>2021年，学院重新制定《湖南艺术职业学院“双师型”教师认定标准》，第一批成功认定“双师型”教师186人。专业教师们深入行业、企业进行顶岗实践和项目合作，加强与市场的联动，掌握行业一线动态，更好地推动教育教学工作的开展。贺冬梅戏曲表演工作室</w:t>
      </w:r>
      <w:r>
        <w:rPr>
          <w:rFonts w:hint="eastAsia" w:ascii="仿宋" w:hAnsi="仿宋"/>
          <w:szCs w:val="32"/>
        </w:rPr>
        <w:t>成功</w:t>
      </w:r>
      <w:r>
        <w:rPr>
          <w:rFonts w:ascii="仿宋" w:hAnsi="仿宋"/>
          <w:szCs w:val="32"/>
        </w:rPr>
        <w:t>立项湖南省双师型名师工作室</w:t>
      </w:r>
      <w:r>
        <w:rPr>
          <w:rFonts w:hint="eastAsia" w:ascii="仿宋" w:hAnsi="仿宋"/>
          <w:szCs w:val="32"/>
        </w:rPr>
        <w:t>。</w:t>
      </w:r>
    </w:p>
    <w:p>
      <w:pPr>
        <w:autoSpaceDE w:val="0"/>
        <w:autoSpaceDN w:val="0"/>
        <w:spacing w:before="190"/>
        <w:ind w:left="936" w:firstLine="640" w:firstLineChars="200"/>
        <w:jc w:val="left"/>
        <w:rPr>
          <w:rFonts w:ascii="仿宋" w:hAnsi="仿宋"/>
          <w:szCs w:val="32"/>
        </w:rPr>
      </w:pPr>
      <w:r>
        <w:rPr>
          <w:rFonts w:hint="eastAsia" w:ascii="仿宋" w:hAnsi="仿宋"/>
          <w:szCs w:val="32"/>
        </w:rPr>
        <w:t>同时，</w:t>
      </w:r>
      <w:r>
        <w:rPr>
          <w:rFonts w:ascii="仿宋" w:hAnsi="仿宋"/>
          <w:szCs w:val="32"/>
        </w:rPr>
        <w:t>学院根据《湖南艺术职业学院专业带头人遴选认定办法》，确认贺冬梅等29名为2021-2024年专业带头人，发挥专业带头人的引领作用，进一步加强专业（群）建设，打造教学水平高、专业技艺精、梯队结构优的专业（群）教师队伍。影视系</w:t>
      </w:r>
      <w:r>
        <w:rPr>
          <w:rFonts w:hint="eastAsia" w:ascii="仿宋" w:hAnsi="仿宋"/>
          <w:szCs w:val="32"/>
        </w:rPr>
        <w:t>教师</w:t>
      </w:r>
      <w:r>
        <w:rPr>
          <w:rFonts w:ascii="仿宋" w:hAnsi="仿宋"/>
          <w:szCs w:val="32"/>
        </w:rPr>
        <w:t>张睿主持的“一核心 两主体 三融入 四能力”——高职广播影视类专业教学模式的探索与实践入围</w:t>
      </w:r>
      <w:r>
        <w:rPr>
          <w:rFonts w:hint="eastAsia" w:ascii="仿宋" w:hAnsi="仿宋"/>
          <w:szCs w:val="32"/>
        </w:rPr>
        <w:t>文旅部“文化艺术职业教育和旅游职业教育提质培优行动计划”的</w:t>
      </w:r>
      <w:r>
        <w:rPr>
          <w:rFonts w:ascii="仿宋" w:hAnsi="仿宋"/>
          <w:szCs w:val="32"/>
        </w:rPr>
        <w:t>“双师型”师资培养扶持项目。</w:t>
      </w:r>
    </w:p>
    <w:p>
      <w:pPr>
        <w:pStyle w:val="4"/>
        <w:rPr>
          <w:b w:val="0"/>
          <w:bCs w:val="0"/>
        </w:rPr>
      </w:pPr>
      <w:bookmarkStart w:id="43" w:name="_Toc23386"/>
      <w:r>
        <w:rPr>
          <w:rFonts w:hint="eastAsia"/>
          <w:b w:val="0"/>
          <w:bCs w:val="0"/>
        </w:rPr>
        <w:t>2</w:t>
      </w:r>
      <w:r>
        <w:rPr>
          <w:b w:val="0"/>
          <w:bCs w:val="0"/>
        </w:rPr>
        <w:t>.6.3</w:t>
      </w:r>
      <w:r>
        <w:rPr>
          <w:rFonts w:hint="eastAsia"/>
          <w:b w:val="0"/>
          <w:bCs w:val="0"/>
        </w:rPr>
        <w:t>多元构筑名师大师队伍建设</w:t>
      </w:r>
      <w:bookmarkEnd w:id="43"/>
    </w:p>
    <w:p>
      <w:pPr>
        <w:autoSpaceDE w:val="0"/>
        <w:autoSpaceDN w:val="0"/>
        <w:spacing w:before="190"/>
        <w:ind w:left="936" w:firstLine="640" w:firstLineChars="200"/>
        <w:jc w:val="left"/>
        <w:rPr>
          <w:rFonts w:ascii="仿宋" w:hAnsi="仿宋"/>
          <w:szCs w:val="32"/>
        </w:rPr>
      </w:pPr>
      <w:r>
        <w:rPr>
          <w:rFonts w:hint="eastAsia" w:ascii="仿宋" w:hAnsi="仿宋"/>
          <w:szCs w:val="32"/>
        </w:rPr>
        <w:t>截至</w:t>
      </w:r>
      <w:r>
        <w:rPr>
          <w:rFonts w:ascii="仿宋" w:hAnsi="仿宋"/>
          <w:szCs w:val="32"/>
        </w:rPr>
        <w:t>2021年，学院现有名师大师工作室10个，分布在戏剧系、音乐系、舞蹈系、影视系、文旅系5个专业系；特聘教授5人、客座教授17人，行业大咖走进课堂</w:t>
      </w:r>
      <w:r>
        <w:rPr>
          <w:rFonts w:hint="eastAsia" w:ascii="仿宋" w:hAnsi="仿宋"/>
          <w:szCs w:val="32"/>
        </w:rPr>
        <w:t>传经送宝</w:t>
      </w:r>
      <w:r>
        <w:rPr>
          <w:rFonts w:ascii="仿宋" w:hAnsi="仿宋"/>
          <w:szCs w:val="32"/>
        </w:rPr>
        <w:t>，让学生受益匪浅。</w:t>
      </w:r>
    </w:p>
    <w:p>
      <w:pPr>
        <w:autoSpaceDE w:val="0"/>
        <w:autoSpaceDN w:val="0"/>
        <w:spacing w:before="190"/>
        <w:ind w:left="936" w:firstLine="640" w:firstLineChars="200"/>
        <w:jc w:val="left"/>
        <w:rPr>
          <w:rFonts w:ascii="仿宋" w:hAnsi="仿宋"/>
          <w:szCs w:val="32"/>
        </w:rPr>
      </w:pPr>
      <w:r>
        <w:rPr>
          <w:rFonts w:ascii="仿宋" w:hAnsi="仿宋"/>
          <w:szCs w:val="32"/>
        </w:rPr>
        <w:t>2021年4月，</w:t>
      </w:r>
      <w:r>
        <w:rPr>
          <w:rFonts w:hint="eastAsia" w:ascii="仿宋" w:hAnsi="仿宋"/>
          <w:szCs w:val="32"/>
        </w:rPr>
        <w:t>学院</w:t>
      </w:r>
      <w:r>
        <w:rPr>
          <w:rFonts w:ascii="仿宋" w:hAnsi="仿宋"/>
          <w:szCs w:val="32"/>
        </w:rPr>
        <w:t>影视系老师张睿成功入选国家广播电视总局2020年度全国广播电视和网络视听行业青年创新人才工程，是湖南省高职院校唯一进入该入选名单的人才。</w:t>
      </w:r>
    </w:p>
    <w:p>
      <w:pPr>
        <w:pStyle w:val="4"/>
        <w:rPr>
          <w:b w:val="0"/>
          <w:bCs w:val="0"/>
        </w:rPr>
      </w:pPr>
      <w:bookmarkStart w:id="44" w:name="_Toc14943"/>
      <w:r>
        <w:rPr>
          <w:rFonts w:hint="eastAsia"/>
          <w:b w:val="0"/>
          <w:bCs w:val="0"/>
        </w:rPr>
        <w:t>2</w:t>
      </w:r>
      <w:r>
        <w:rPr>
          <w:b w:val="0"/>
          <w:bCs w:val="0"/>
        </w:rPr>
        <w:t>.6.4</w:t>
      </w:r>
      <w:r>
        <w:rPr>
          <w:rFonts w:hint="eastAsia"/>
          <w:b w:val="0"/>
          <w:bCs w:val="0"/>
        </w:rPr>
        <w:t>教学创新团队建设实现突破</w:t>
      </w:r>
      <w:bookmarkEnd w:id="44"/>
    </w:p>
    <w:p>
      <w:pPr>
        <w:autoSpaceDE w:val="0"/>
        <w:autoSpaceDN w:val="0"/>
        <w:spacing w:before="190"/>
        <w:ind w:left="936" w:firstLine="640" w:firstLineChars="200"/>
        <w:jc w:val="left"/>
        <w:rPr>
          <w:rFonts w:ascii="仿宋" w:hAnsi="仿宋"/>
          <w:color w:val="000000" w:themeColor="text1"/>
          <w:szCs w:val="32"/>
          <w14:textFill>
            <w14:solidFill>
              <w14:schemeClr w14:val="tx1"/>
            </w14:solidFill>
          </w14:textFill>
        </w:rPr>
      </w:pPr>
      <w:r>
        <w:rPr>
          <w:rFonts w:hint="eastAsia" w:ascii="仿宋" w:hAnsi="仿宋"/>
          <w:color w:val="000000" w:themeColor="text1"/>
          <w:szCs w:val="32"/>
          <w14:textFill>
            <w14:solidFill>
              <w14:schemeClr w14:val="tx1"/>
            </w14:solidFill>
          </w14:textFill>
        </w:rPr>
        <w:t>学</w:t>
      </w:r>
      <w:r>
        <w:rPr>
          <w:rFonts w:ascii="仿宋" w:hAnsi="仿宋"/>
          <w:color w:val="000000" w:themeColor="text1"/>
          <w:szCs w:val="32"/>
          <w14:textFill>
            <w14:solidFill>
              <w14:schemeClr w14:val="tx1"/>
            </w14:solidFill>
          </w14:textFill>
        </w:rPr>
        <w:t>院影视系《微电影创作》是湖南职业教育领域立项的6门课程之一，也是全国艺术类职业院校唯一立项的课程。</w:t>
      </w:r>
      <w:r>
        <w:rPr>
          <w:rFonts w:hint="eastAsia" w:ascii="仿宋" w:hAnsi="仿宋"/>
          <w:color w:val="000000" w:themeColor="text1"/>
          <w:szCs w:val="32"/>
          <w14:textFill>
            <w14:solidFill>
              <w14:schemeClr w14:val="tx1"/>
            </w14:solidFill>
          </w14:textFill>
        </w:rPr>
        <w:t>《微电影创作》课程是</w:t>
      </w:r>
      <w:r>
        <w:rPr>
          <w:rFonts w:ascii="仿宋" w:hAnsi="仿宋"/>
          <w:color w:val="000000" w:themeColor="text1"/>
          <w:szCs w:val="32"/>
          <w14:textFill>
            <w14:solidFill>
              <w14:schemeClr w14:val="tx1"/>
            </w14:solidFill>
          </w14:textFill>
        </w:rPr>
        <w:t>2020年湖南省职业教育精品课程（省级金课），目前线上累计浏览量超过355万次、累计选课超过3300人、累计互动14000余次、覆盖院校76所。</w:t>
      </w:r>
    </w:p>
    <w:p>
      <w:pPr>
        <w:autoSpaceDE w:val="0"/>
        <w:autoSpaceDN w:val="0"/>
        <w:spacing w:before="190"/>
        <w:ind w:left="936" w:firstLine="640" w:firstLineChars="200"/>
        <w:jc w:val="left"/>
        <w:rPr>
          <w:rFonts w:ascii="仿宋" w:hAnsi="仿宋"/>
          <w:color w:val="FF0000"/>
          <w:szCs w:val="32"/>
        </w:rPr>
      </w:pPr>
      <w:r>
        <w:rPr>
          <w:rFonts w:hint="eastAsia" w:ascii="仿宋" w:hAnsi="仿宋"/>
          <w:color w:val="000000" w:themeColor="text1"/>
          <w:szCs w:val="32"/>
          <w14:textFill>
            <w14:solidFill>
              <w14:schemeClr w14:val="tx1"/>
            </w14:solidFill>
          </w14:textFill>
        </w:rPr>
        <w:t>2</w:t>
      </w:r>
      <w:r>
        <w:rPr>
          <w:rFonts w:ascii="仿宋" w:hAnsi="仿宋"/>
          <w:color w:val="000000" w:themeColor="text1"/>
          <w:szCs w:val="32"/>
          <w14:textFill>
            <w14:solidFill>
              <w14:schemeClr w14:val="tx1"/>
            </w14:solidFill>
          </w14:textFill>
        </w:rPr>
        <w:t>021</w:t>
      </w:r>
      <w:r>
        <w:rPr>
          <w:rFonts w:hint="eastAsia" w:ascii="仿宋" w:hAnsi="仿宋"/>
          <w:color w:val="000000" w:themeColor="text1"/>
          <w:szCs w:val="32"/>
          <w14:textFill>
            <w14:solidFill>
              <w14:schemeClr w14:val="tx1"/>
            </w14:solidFill>
          </w14:textFill>
        </w:rPr>
        <w:t>年</w:t>
      </w:r>
      <w:r>
        <w:rPr>
          <w:rFonts w:ascii="仿宋" w:hAnsi="仿宋"/>
          <w:color w:val="000000" w:themeColor="text1"/>
          <w:szCs w:val="32"/>
          <w14:textFill>
            <w14:solidFill>
              <w14:schemeClr w14:val="tx1"/>
            </w14:solidFill>
          </w14:textFill>
        </w:rPr>
        <w:t>5月，教育部高教司发布《关于课程思政示范项目名单的公示》，我院影视系《微电影创作》课程拟认定为国家级课程思政示范课程，授课教师和教学团队拟认定为国家级课程思政教学名师和团队。</w:t>
      </w:r>
    </w:p>
    <w:p>
      <w:pPr>
        <w:pStyle w:val="3"/>
      </w:pPr>
      <w:bookmarkStart w:id="45" w:name="_Toc10232"/>
      <w:r>
        <w:rPr>
          <w:rFonts w:hint="eastAsia"/>
        </w:rPr>
        <w:t>2</w:t>
      </w:r>
      <w:r>
        <w:t>.7</w:t>
      </w:r>
      <w:r>
        <w:rPr>
          <w:rFonts w:hint="eastAsia"/>
        </w:rPr>
        <w:t>教材教法改革</w:t>
      </w:r>
      <w:bookmarkEnd w:id="45"/>
    </w:p>
    <w:p>
      <w:pPr>
        <w:pStyle w:val="4"/>
        <w:rPr>
          <w:b w:val="0"/>
          <w:bCs w:val="0"/>
        </w:rPr>
      </w:pPr>
      <w:bookmarkStart w:id="46" w:name="_Toc29732"/>
      <w:r>
        <w:rPr>
          <w:rFonts w:hint="eastAsia"/>
          <w:b w:val="0"/>
          <w:bCs w:val="0"/>
        </w:rPr>
        <w:t>2</w:t>
      </w:r>
      <w:r>
        <w:rPr>
          <w:b w:val="0"/>
          <w:bCs w:val="0"/>
        </w:rPr>
        <w:t>.7.1</w:t>
      </w:r>
      <w:r>
        <w:rPr>
          <w:rFonts w:hint="eastAsia"/>
          <w:b w:val="0"/>
          <w:bCs w:val="0"/>
        </w:rPr>
        <w:t>标准建设</w:t>
      </w:r>
      <w:bookmarkEnd w:id="46"/>
    </w:p>
    <w:p>
      <w:pPr>
        <w:autoSpaceDE w:val="0"/>
        <w:autoSpaceDN w:val="0"/>
        <w:spacing w:before="190"/>
        <w:ind w:left="936" w:firstLine="640" w:firstLineChars="200"/>
        <w:jc w:val="left"/>
        <w:rPr>
          <w:rFonts w:ascii="仿宋" w:hAnsi="仿宋"/>
          <w:szCs w:val="32"/>
        </w:rPr>
      </w:pPr>
      <w:r>
        <w:rPr>
          <w:rFonts w:hint="eastAsia" w:ascii="仿宋" w:hAnsi="仿宋"/>
          <w:szCs w:val="32"/>
        </w:rPr>
        <w:t>学院对接职业岗位要求，严格课程标准建设</w:t>
      </w:r>
      <w:r>
        <w:rPr>
          <w:rFonts w:ascii="仿宋" w:hAnsi="仿宋"/>
          <w:szCs w:val="32"/>
        </w:rPr>
        <w:t>根据行、企业标准，用人需求、考取职业从业资格具备的条件等方面出发，通过市场调研论证，科学合理的制定人才水平培养方案。从教材的选用、课程的设置等方面对各学科专业教学进行规范；对教学内容和方法进行必要适时的调整。聘请专家深入专业系部调研审核</w:t>
      </w:r>
      <w:r>
        <w:rPr>
          <w:rFonts w:hint="eastAsia" w:ascii="仿宋" w:hAnsi="仿宋"/>
          <w:szCs w:val="32"/>
        </w:rPr>
        <w:t>，</w:t>
      </w:r>
      <w:r>
        <w:rPr>
          <w:rFonts w:ascii="仿宋" w:hAnsi="仿宋"/>
          <w:szCs w:val="32"/>
        </w:rPr>
        <w:t>进一步完善“一案四标”建设的精准落地</w:t>
      </w:r>
      <w:r>
        <w:rPr>
          <w:rFonts w:hint="eastAsia" w:ascii="仿宋" w:hAnsi="仿宋"/>
          <w:szCs w:val="32"/>
        </w:rPr>
        <w:t>，</w:t>
      </w:r>
      <w:r>
        <w:rPr>
          <w:rFonts w:ascii="仿宋" w:hAnsi="仿宋"/>
          <w:szCs w:val="32"/>
        </w:rPr>
        <w:t>并先后下发了《关于2021级人才培养方案制定的通知》《关于开展专业人才培养方案的课程标准编制的通知</w:t>
      </w:r>
      <w:r>
        <w:rPr>
          <w:rFonts w:hint="eastAsia" w:ascii="仿宋" w:hAnsi="仿宋"/>
          <w:szCs w:val="32"/>
        </w:rPr>
        <w:t>》《关于规范课程标准、专业人才培养调研报告等文书制定体例的通知》《关于开展学院</w:t>
      </w:r>
      <w:r>
        <w:rPr>
          <w:rFonts w:ascii="仿宋" w:hAnsi="仿宋"/>
          <w:szCs w:val="32"/>
        </w:rPr>
        <w:t>2021年专业人才培养方案、课程标准、专业技能考核标准内审评估考核的通知》《关于进一步组织开展2021级专业人才培养方案修订整改的通知》等文件，组织各专业系部开展专业人才需求调研并形成调研报告，在学院党委书记的带领下分专业系部依次进行了人才培养方案的论证、学习、整改</w:t>
      </w:r>
      <w:r>
        <w:rPr>
          <w:rFonts w:hint="eastAsia" w:ascii="仿宋" w:hAnsi="仿宋"/>
          <w:szCs w:val="32"/>
        </w:rPr>
        <w:t>。</w:t>
      </w:r>
    </w:p>
    <w:p>
      <w:pPr>
        <w:autoSpaceDE w:val="0"/>
        <w:autoSpaceDN w:val="0"/>
        <w:spacing w:before="190"/>
        <w:ind w:left="936" w:firstLine="640" w:firstLineChars="200"/>
        <w:jc w:val="left"/>
      </w:pPr>
      <w:r>
        <w:rPr>
          <w:rFonts w:hint="eastAsia" w:ascii="仿宋" w:hAnsi="仿宋"/>
          <w:szCs w:val="32"/>
        </w:rPr>
        <w:t>学院专业人才培养方案全部顺利通过省教育厅的合格评估，并积极申报“优秀”等级。</w:t>
      </w:r>
    </w:p>
    <w:p>
      <w:pPr>
        <w:pStyle w:val="4"/>
        <w:rPr>
          <w:b w:val="0"/>
          <w:bCs w:val="0"/>
        </w:rPr>
      </w:pPr>
      <w:bookmarkStart w:id="47" w:name="_Toc29164"/>
      <w:r>
        <w:rPr>
          <w:rFonts w:hint="eastAsia"/>
          <w:b w:val="0"/>
          <w:bCs w:val="0"/>
        </w:rPr>
        <w:t>2</w:t>
      </w:r>
      <w:r>
        <w:rPr>
          <w:b w:val="0"/>
          <w:bCs w:val="0"/>
        </w:rPr>
        <w:t>.7.2</w:t>
      </w:r>
      <w:r>
        <w:rPr>
          <w:rFonts w:hint="eastAsia"/>
          <w:b w:val="0"/>
          <w:bCs w:val="0"/>
        </w:rPr>
        <w:t>模块化教学</w:t>
      </w:r>
      <w:bookmarkEnd w:id="47"/>
    </w:p>
    <w:p>
      <w:pPr>
        <w:autoSpaceDE w:val="0"/>
        <w:autoSpaceDN w:val="0"/>
        <w:spacing w:before="190"/>
        <w:ind w:left="936" w:firstLine="640" w:firstLineChars="200"/>
        <w:jc w:val="left"/>
        <w:rPr>
          <w:rFonts w:ascii="仿宋" w:hAnsi="仿宋"/>
          <w:szCs w:val="32"/>
        </w:rPr>
      </w:pPr>
      <w:r>
        <w:rPr>
          <w:rFonts w:hint="eastAsia" w:ascii="仿宋" w:hAnsi="仿宋"/>
          <w:szCs w:val="32"/>
        </w:rPr>
        <w:t>学院根据“</w:t>
      </w:r>
      <w:r>
        <w:rPr>
          <w:rFonts w:ascii="仿宋" w:hAnsi="仿宋"/>
          <w:szCs w:val="32"/>
        </w:rPr>
        <w:t>宽基础、活模块</w:t>
      </w:r>
      <w:r>
        <w:rPr>
          <w:rFonts w:hint="eastAsia" w:ascii="仿宋" w:hAnsi="仿宋"/>
          <w:szCs w:val="32"/>
        </w:rPr>
        <w:t>”</w:t>
      </w:r>
      <w:r>
        <w:rPr>
          <w:rFonts w:ascii="仿宋" w:hAnsi="仿宋"/>
          <w:szCs w:val="32"/>
        </w:rPr>
        <w:t>教育模式，</w:t>
      </w:r>
      <w:r>
        <w:rPr>
          <w:rFonts w:hint="eastAsia" w:ascii="仿宋" w:hAnsi="仿宋"/>
          <w:szCs w:val="32"/>
        </w:rPr>
        <w:t>始终坚持</w:t>
      </w:r>
      <w:r>
        <w:rPr>
          <w:rFonts w:ascii="仿宋" w:hAnsi="仿宋"/>
          <w:szCs w:val="32"/>
        </w:rPr>
        <w:t>以人为本、全面育人的教育理念出发，</w:t>
      </w:r>
      <w:r>
        <w:rPr>
          <w:rFonts w:hint="eastAsia" w:ascii="仿宋" w:hAnsi="仿宋"/>
          <w:szCs w:val="32"/>
        </w:rPr>
        <w:t>严格按照</w:t>
      </w:r>
      <w:r>
        <w:rPr>
          <w:rFonts w:ascii="仿宋" w:hAnsi="仿宋"/>
          <w:szCs w:val="32"/>
        </w:rPr>
        <w:t>全日制职业教育的培养要求，通过模块课程间灵活合理的搭配，培养学生宽泛的基础人文素质、基础从业能力，进而培养其合格的专门职业能力。</w:t>
      </w:r>
      <w:r>
        <w:t>目前，学院六个专业系均已实施模块化教学</w:t>
      </w:r>
      <w:r>
        <w:rPr>
          <w:rFonts w:hint="eastAsia"/>
        </w:rPr>
        <w:t>。</w:t>
      </w:r>
    </w:p>
    <w:p>
      <w:pPr>
        <w:pStyle w:val="4"/>
        <w:rPr>
          <w:b w:val="0"/>
          <w:bCs w:val="0"/>
        </w:rPr>
      </w:pPr>
      <w:bookmarkStart w:id="48" w:name="_Toc11806"/>
      <w:r>
        <w:rPr>
          <w:rFonts w:hint="eastAsia"/>
          <w:b w:val="0"/>
          <w:bCs w:val="0"/>
        </w:rPr>
        <w:t>2</w:t>
      </w:r>
      <w:r>
        <w:rPr>
          <w:b w:val="0"/>
          <w:bCs w:val="0"/>
        </w:rPr>
        <w:t>.7.3</w:t>
      </w:r>
      <w:r>
        <w:rPr>
          <w:rFonts w:hint="eastAsia"/>
          <w:b w:val="0"/>
          <w:bCs w:val="0"/>
        </w:rPr>
        <w:t>信息技术应用</w:t>
      </w:r>
      <w:bookmarkEnd w:id="48"/>
    </w:p>
    <w:p>
      <w:pPr>
        <w:autoSpaceDE w:val="0"/>
        <w:autoSpaceDN w:val="0"/>
        <w:spacing w:before="190"/>
        <w:ind w:left="936" w:firstLine="640" w:firstLineChars="200"/>
        <w:jc w:val="left"/>
        <w:rPr>
          <w:rFonts w:ascii="仿宋" w:hAnsi="仿宋"/>
          <w:szCs w:val="32"/>
        </w:rPr>
      </w:pPr>
      <w:r>
        <w:rPr>
          <w:rFonts w:hint="eastAsia" w:ascii="仿宋" w:hAnsi="仿宋"/>
          <w:szCs w:val="32"/>
        </w:rPr>
        <w:t>这两年来，由于受到新冠疫情的影响，线下授课面临着极大的挑战，学院根据疫情防控工作要求以及顺应时代发展趋势，按照教学管理的实际需求，对线上课程管理、成绩管理、毕业设计等进行规划建设，指导开发建设新的教学管理平台，实现教师教育信息资源的优化配置和有效利用，引导和支持广大教师在教学中广泛运用计算机多媒体技术、信息网络技术和教育技术等先进手段，取得了较好的效果。</w:t>
      </w:r>
      <w:r>
        <w:rPr>
          <w:rFonts w:ascii="Calibri" w:hAnsi="Calibri" w:cs="Calibri"/>
          <w:szCs w:val="32"/>
        </w:rPr>
        <w:t> </w:t>
      </w:r>
    </w:p>
    <w:p>
      <w:pPr>
        <w:pStyle w:val="4"/>
        <w:rPr>
          <w:b w:val="0"/>
          <w:bCs w:val="0"/>
        </w:rPr>
      </w:pPr>
      <w:bookmarkStart w:id="49" w:name="_Toc918"/>
      <w:r>
        <w:rPr>
          <w:rFonts w:hint="eastAsia"/>
          <w:b w:val="0"/>
          <w:bCs w:val="0"/>
        </w:rPr>
        <w:t>2</w:t>
      </w:r>
      <w:r>
        <w:rPr>
          <w:b w:val="0"/>
          <w:bCs w:val="0"/>
        </w:rPr>
        <w:t>.7.4</w:t>
      </w:r>
      <w:r>
        <w:rPr>
          <w:rFonts w:hint="eastAsia"/>
          <w:b w:val="0"/>
          <w:bCs w:val="0"/>
        </w:rPr>
        <w:t>教材改革</w:t>
      </w:r>
      <w:bookmarkEnd w:id="49"/>
    </w:p>
    <w:p>
      <w:pPr>
        <w:autoSpaceDE w:val="0"/>
        <w:autoSpaceDN w:val="0"/>
        <w:spacing w:before="190"/>
        <w:ind w:left="936" w:firstLine="640" w:firstLineChars="200"/>
        <w:jc w:val="left"/>
        <w:rPr>
          <w:rFonts w:ascii="仿宋" w:hAnsi="仿宋"/>
          <w:szCs w:val="32"/>
        </w:rPr>
      </w:pPr>
      <w:r>
        <w:rPr>
          <w:rFonts w:hint="eastAsia" w:ascii="仿宋" w:hAnsi="仿宋"/>
          <w:szCs w:val="32"/>
        </w:rPr>
        <w:t>为全面贯彻党的教育方针，落实立德树人根本任务，扎根中国大地，站稳中国立场，充分体现社会主义核心价值观，加强爱国主义、集体主义、社会主义教育，引导学生坚定道路自信、理论自信、制度自信、文化自信，成为担当中华民族复兴大任的时代新人。学院以课程建设为统领，加快教材改革与创新，</w:t>
      </w:r>
      <w:r>
        <w:rPr>
          <w:rFonts w:ascii="Calibri" w:hAnsi="Calibri" w:cs="Calibri"/>
          <w:szCs w:val="32"/>
        </w:rPr>
        <w:t> </w:t>
      </w:r>
      <w:r>
        <w:rPr>
          <w:rFonts w:hint="eastAsia" w:ascii="仿宋" w:hAnsi="仿宋"/>
          <w:szCs w:val="32"/>
        </w:rPr>
        <w:t>严格对照专业人才水平培养方案、课程标准进行教材、网络教学资源和相关教学材料的选定。</w:t>
      </w:r>
    </w:p>
    <w:p>
      <w:pPr>
        <w:autoSpaceDE w:val="0"/>
        <w:autoSpaceDN w:val="0"/>
        <w:spacing w:before="190"/>
        <w:ind w:left="936" w:firstLine="640" w:firstLineChars="200"/>
        <w:jc w:val="left"/>
        <w:rPr>
          <w:rFonts w:ascii="仿宋" w:hAnsi="仿宋"/>
          <w:szCs w:val="32"/>
        </w:rPr>
      </w:pPr>
      <w:r>
        <w:rPr>
          <w:rFonts w:ascii="仿宋" w:hAnsi="仿宋"/>
          <w:szCs w:val="32"/>
        </w:rPr>
        <w:t>一年来，陆续制定了《教材管理办法》《课程建设管理办法》《“双一流”项目建设管理办法》《教案撰写规范》等制度，强化制度管理和引导。</w:t>
      </w:r>
    </w:p>
    <w:p>
      <w:pPr>
        <w:pStyle w:val="2"/>
      </w:pPr>
      <w:bookmarkStart w:id="50" w:name="_Toc9456"/>
      <w:r>
        <w:rPr>
          <w:rFonts w:hint="eastAsia"/>
        </w:rPr>
        <w:t>3政策保障</w:t>
      </w:r>
      <w:bookmarkEnd w:id="50"/>
    </w:p>
    <w:p>
      <w:pPr>
        <w:pStyle w:val="3"/>
      </w:pPr>
      <w:bookmarkStart w:id="51" w:name="_Toc23499"/>
      <w:r>
        <w:rPr>
          <w:rFonts w:hint="eastAsia"/>
        </w:rPr>
        <w:t>3</w:t>
      </w:r>
      <w:r>
        <w:t>.1</w:t>
      </w:r>
      <w:r>
        <w:rPr>
          <w:rFonts w:hint="eastAsia"/>
        </w:rPr>
        <w:t>政策创新</w:t>
      </w:r>
      <w:bookmarkEnd w:id="51"/>
    </w:p>
    <w:p>
      <w:pPr>
        <w:pStyle w:val="4"/>
        <w:rPr>
          <w:b w:val="0"/>
          <w:bCs w:val="0"/>
        </w:rPr>
      </w:pPr>
      <w:bookmarkStart w:id="52" w:name="_Toc9711"/>
      <w:r>
        <w:rPr>
          <w:rFonts w:hint="eastAsia"/>
          <w:b w:val="0"/>
          <w:bCs w:val="0"/>
        </w:rPr>
        <w:t>3</w:t>
      </w:r>
      <w:r>
        <w:rPr>
          <w:b w:val="0"/>
          <w:bCs w:val="0"/>
        </w:rPr>
        <w:t>.1.1</w:t>
      </w:r>
      <w:r>
        <w:rPr>
          <w:rFonts w:hint="eastAsia"/>
          <w:b w:val="0"/>
          <w:bCs w:val="0"/>
        </w:rPr>
        <w:t>扎实推进政策落实</w:t>
      </w:r>
      <w:bookmarkEnd w:id="52"/>
    </w:p>
    <w:p>
      <w:pPr>
        <w:autoSpaceDE w:val="0"/>
        <w:autoSpaceDN w:val="0"/>
        <w:spacing w:before="190"/>
        <w:ind w:left="936" w:firstLine="640" w:firstLineChars="200"/>
        <w:jc w:val="left"/>
        <w:rPr>
          <w:rFonts w:ascii="仿宋" w:hAnsi="仿宋"/>
          <w:w w:val="96"/>
          <w:szCs w:val="32"/>
        </w:rPr>
      </w:pPr>
      <w:r>
        <w:rPr>
          <w:rFonts w:hint="eastAsia" w:ascii="仿宋" w:hAnsi="仿宋"/>
          <w:szCs w:val="32"/>
        </w:rPr>
        <w:t>学院严格贯彻落实中央和省委各项政策，坚持立德树人，坚持为社会主义发展培养文化和艺术人才。认真学习并落实习近平主席和李克强总理关于职业教育发展的重要批示和指示。</w:t>
      </w:r>
    </w:p>
    <w:p>
      <w:pPr>
        <w:autoSpaceDE w:val="0"/>
        <w:autoSpaceDN w:val="0"/>
        <w:spacing w:before="190"/>
        <w:ind w:firstLine="1076" w:firstLineChars="400"/>
        <w:jc w:val="left"/>
        <w:rPr>
          <w:rFonts w:ascii="楷体" w:hAnsi="楷体" w:eastAsia="楷体"/>
          <w:b/>
          <w:bCs/>
          <w:w w:val="96"/>
          <w:sz w:val="28"/>
          <w:szCs w:val="28"/>
        </w:rPr>
      </w:pPr>
      <w:r>
        <w:rPr>
          <w:rFonts w:hint="eastAsia" w:ascii="楷体" w:hAnsi="楷体" w:eastAsia="楷体"/>
          <w:b/>
          <w:bCs/>
          <w:w w:val="96"/>
          <w:sz w:val="28"/>
          <w:szCs w:val="28"/>
        </w:rPr>
        <w:t>【典型案例3</w:t>
      </w:r>
      <w:r>
        <w:rPr>
          <w:rFonts w:ascii="楷体" w:hAnsi="楷体" w:eastAsia="楷体"/>
          <w:b/>
          <w:bCs/>
          <w:w w:val="96"/>
          <w:sz w:val="28"/>
          <w:szCs w:val="28"/>
        </w:rPr>
        <w:t>-1</w:t>
      </w:r>
      <w:r>
        <w:rPr>
          <w:rFonts w:hint="eastAsia" w:ascii="楷体" w:hAnsi="楷体" w:eastAsia="楷体"/>
          <w:b/>
          <w:bCs/>
          <w:w w:val="96"/>
          <w:sz w:val="28"/>
          <w:szCs w:val="28"/>
        </w:rPr>
        <w:t>】全方位加强学习，政策落实得实效</w:t>
      </w:r>
    </w:p>
    <w:p>
      <w:pPr>
        <w:autoSpaceDE w:val="0"/>
        <w:autoSpaceDN w:val="0"/>
        <w:spacing w:before="190"/>
        <w:ind w:left="936" w:firstLine="560" w:firstLineChars="200"/>
        <w:jc w:val="left"/>
        <w:rPr>
          <w:rFonts w:ascii="楷体" w:hAnsi="楷体" w:eastAsia="楷体"/>
          <w:w w:val="96"/>
          <w:sz w:val="28"/>
          <w:szCs w:val="28"/>
        </w:rPr>
      </w:pPr>
      <w:r>
        <w:rPr>
          <w:rFonts w:hint="eastAsia" w:ascii="楷体" w:hAnsi="楷体" w:eastAsia="楷体"/>
          <w:sz w:val="28"/>
          <w:szCs w:val="28"/>
        </w:rPr>
        <w:t>今年以来，学院组织召开了</w:t>
      </w:r>
      <w:r>
        <w:rPr>
          <w:rFonts w:ascii="楷体" w:hAnsi="楷体" w:eastAsia="楷体"/>
          <w:sz w:val="28"/>
          <w:szCs w:val="28"/>
        </w:rPr>
        <w:t>30次党政联系会议、7次中心组理论学习、3次中层干部培训会、2期业余党校培训班，专题研究党建工作20余次，研究意识形态和思想政治工作10余次，党委</w:t>
      </w:r>
      <w:r>
        <w:rPr>
          <w:rFonts w:ascii="楷体" w:hAnsi="楷体" w:eastAsia="楷体"/>
          <w:w w:val="96"/>
          <w:sz w:val="28"/>
          <w:szCs w:val="28"/>
        </w:rPr>
        <w:t>书记带头讲了2堂党课。同时，通过多种形式加强对政策落实的监督，确保政策执行不打折扣，不流于形式。</w:t>
      </w:r>
    </w:p>
    <w:p>
      <w:pPr>
        <w:pStyle w:val="4"/>
        <w:rPr>
          <w:b w:val="0"/>
          <w:bCs w:val="0"/>
        </w:rPr>
      </w:pPr>
      <w:bookmarkStart w:id="53" w:name="_Toc32022"/>
      <w:r>
        <w:rPr>
          <w:rFonts w:hint="eastAsia"/>
          <w:b w:val="0"/>
          <w:bCs w:val="0"/>
        </w:rPr>
        <w:t>3</w:t>
      </w:r>
      <w:r>
        <w:rPr>
          <w:b w:val="0"/>
          <w:bCs w:val="0"/>
        </w:rPr>
        <w:t>.1.2</w:t>
      </w:r>
      <w:r>
        <w:rPr>
          <w:rFonts w:hint="eastAsia"/>
          <w:b w:val="0"/>
          <w:bCs w:val="0"/>
        </w:rPr>
        <w:t>科学实施改革举措</w:t>
      </w:r>
      <w:bookmarkEnd w:id="53"/>
    </w:p>
    <w:p>
      <w:pPr>
        <w:autoSpaceDE w:val="0"/>
        <w:autoSpaceDN w:val="0"/>
        <w:spacing w:before="190"/>
        <w:ind w:left="936" w:firstLine="640" w:firstLineChars="200"/>
        <w:jc w:val="left"/>
        <w:rPr>
          <w:rFonts w:ascii="仿宋" w:hAnsi="仿宋"/>
          <w:szCs w:val="32"/>
        </w:rPr>
      </w:pPr>
      <w:r>
        <w:rPr>
          <w:rFonts w:hint="eastAsia" w:ascii="仿宋" w:hAnsi="仿宋"/>
          <w:szCs w:val="32"/>
        </w:rPr>
        <w:t>按照新形势、新任务、新要求，积极推进管理规范化、规范流程化、流程信息化。一是加强顶层设计，坚持党委领导下的院长负责制，通过定期召开党政联席会议的形式，研究学院发展的“三重一大”事项，规划学院发展的蓝图，制定学院发展的详细计划，逐个落实，推动学院整体向前发展。二是不断加强学院的内涵建设，以“三教改革”为手段，不断加强对教学的深层次管理，制定《教材管理办法》《课程建设管理办法》等制度，深入开展师德师风教育，提升教师的综合素质，通过参加教师技能竞赛、申报国家级或省级项目（课题）等提升专业能力建设。近三年，学院教师在国家级、省级技能大赛中频频获奖，社会影响力增强。三是畅通职称评审渠道，修改和完善职称评审细则，以职称评审指导和引导教师的全方位发展，从而整体提升教学水平。</w:t>
      </w:r>
    </w:p>
    <w:p>
      <w:pPr>
        <w:pStyle w:val="4"/>
        <w:rPr>
          <w:b w:val="0"/>
          <w:bCs w:val="0"/>
        </w:rPr>
      </w:pPr>
      <w:bookmarkStart w:id="54" w:name="_Toc4573"/>
      <w:r>
        <w:rPr>
          <w:rFonts w:hint="eastAsia"/>
          <w:b w:val="0"/>
          <w:bCs w:val="0"/>
        </w:rPr>
        <w:t>3</w:t>
      </w:r>
      <w:r>
        <w:rPr>
          <w:b w:val="0"/>
          <w:bCs w:val="0"/>
        </w:rPr>
        <w:t>.1.3</w:t>
      </w:r>
      <w:r>
        <w:rPr>
          <w:rFonts w:hint="eastAsia"/>
          <w:b w:val="0"/>
          <w:bCs w:val="0"/>
        </w:rPr>
        <w:t>攻坚克难优化发展环境</w:t>
      </w:r>
      <w:bookmarkEnd w:id="54"/>
    </w:p>
    <w:p>
      <w:pPr>
        <w:autoSpaceDE w:val="0"/>
        <w:autoSpaceDN w:val="0"/>
        <w:spacing w:before="190"/>
        <w:ind w:left="936" w:firstLine="640" w:firstLineChars="200"/>
        <w:jc w:val="left"/>
        <w:rPr>
          <w:rFonts w:ascii="仿宋" w:hAnsi="仿宋"/>
          <w:szCs w:val="32"/>
        </w:rPr>
      </w:pPr>
      <w:r>
        <w:rPr>
          <w:rFonts w:hint="eastAsia" w:ascii="仿宋" w:hAnsi="仿宋"/>
          <w:szCs w:val="32"/>
        </w:rPr>
        <w:t>学院由于新校区建设导致整体负债过重，几度险陷资金链断裂的风险中，急需政府出面协调加速推进学院新校区建设的概算调整和北院的市场化处置，因此，发展后劲受到了极大的限制。</w:t>
      </w:r>
    </w:p>
    <w:p>
      <w:pPr>
        <w:autoSpaceDE w:val="0"/>
        <w:autoSpaceDN w:val="0"/>
        <w:spacing w:before="190"/>
        <w:ind w:left="936" w:firstLine="640" w:firstLineChars="200"/>
        <w:jc w:val="left"/>
        <w:rPr>
          <w:rFonts w:ascii="仿宋" w:hAnsi="仿宋"/>
          <w:szCs w:val="32"/>
        </w:rPr>
      </w:pPr>
      <w:r>
        <w:rPr>
          <w:rFonts w:hint="eastAsia" w:ascii="仿宋" w:hAnsi="仿宋"/>
          <w:szCs w:val="32"/>
        </w:rPr>
        <w:t>行业办学历来受到人才引进政策的限制，致使在大师、名师这种在行业影响大、专业技能过硬的专家型人才受学历、职称的影响不能引入学院，一定程度上影响了学院专业的高质量发展。</w:t>
      </w:r>
    </w:p>
    <w:p>
      <w:pPr>
        <w:autoSpaceDE w:val="0"/>
        <w:autoSpaceDN w:val="0"/>
        <w:spacing w:before="190"/>
        <w:ind w:left="936" w:firstLine="640" w:firstLineChars="200"/>
        <w:jc w:val="left"/>
        <w:rPr>
          <w:rFonts w:ascii="仿宋" w:hAnsi="仿宋"/>
          <w:szCs w:val="32"/>
        </w:rPr>
      </w:pPr>
      <w:r>
        <w:rPr>
          <w:rFonts w:hint="eastAsia" w:ascii="仿宋" w:hAnsi="仿宋"/>
          <w:szCs w:val="32"/>
        </w:rPr>
        <w:t>目前学院正对照标准，努力建设职业本科大学。按照教育部职业本科大学转设的要求，对照自身条件，寻求转设路径积极申报，最终经省委省政府同意，学院与大众传媒职业技术学院、湖南农业大学东方科技学院合并转设成湖南传媒与艺术职业大学（暂定名），目前已经通过省评专家评审、公示，正待教育部专家的现场评估。</w:t>
      </w:r>
    </w:p>
    <w:p>
      <w:pPr>
        <w:pStyle w:val="3"/>
      </w:pPr>
      <w:bookmarkStart w:id="55" w:name="_Toc5129"/>
      <w:r>
        <w:rPr>
          <w:rFonts w:hint="eastAsia"/>
        </w:rPr>
        <w:t>3</w:t>
      </w:r>
      <w:r>
        <w:t>.2</w:t>
      </w:r>
      <w:r>
        <w:rPr>
          <w:rFonts w:hint="eastAsia"/>
        </w:rPr>
        <w:t>专项引导</w:t>
      </w:r>
      <w:bookmarkEnd w:id="55"/>
    </w:p>
    <w:p>
      <w:pPr>
        <w:pStyle w:val="4"/>
        <w:rPr>
          <w:b w:val="0"/>
          <w:bCs w:val="0"/>
        </w:rPr>
      </w:pPr>
      <w:bookmarkStart w:id="56" w:name="_Toc24174"/>
      <w:r>
        <w:rPr>
          <w:rFonts w:hint="eastAsia"/>
          <w:b w:val="0"/>
          <w:bCs w:val="0"/>
        </w:rPr>
        <w:t>3</w:t>
      </w:r>
      <w:r>
        <w:rPr>
          <w:b w:val="0"/>
          <w:bCs w:val="0"/>
        </w:rPr>
        <w:t>.2.1</w:t>
      </w:r>
      <w:r>
        <w:rPr>
          <w:rFonts w:hint="eastAsia"/>
          <w:b w:val="0"/>
          <w:bCs w:val="0"/>
        </w:rPr>
        <w:t>实施职教重点项目</w:t>
      </w:r>
      <w:bookmarkEnd w:id="56"/>
    </w:p>
    <w:p>
      <w:pPr>
        <w:autoSpaceDE w:val="0"/>
        <w:autoSpaceDN w:val="0"/>
        <w:spacing w:before="190"/>
        <w:ind w:left="936" w:firstLine="640" w:firstLineChars="200"/>
        <w:jc w:val="left"/>
        <w:rPr>
          <w:rFonts w:ascii="仿宋" w:hAnsi="仿宋"/>
          <w:szCs w:val="32"/>
        </w:rPr>
      </w:pPr>
      <w:r>
        <w:rPr>
          <w:rFonts w:hint="eastAsia" w:ascii="仿宋" w:hAnsi="仿宋"/>
          <w:szCs w:val="32"/>
        </w:rPr>
        <w:t>学院积极贯彻落实《国家职业教育改革实施方案》《湖南省职业教育改革实施方案》，通过打造“一核心</w:t>
      </w:r>
      <w:r>
        <w:rPr>
          <w:rFonts w:ascii="仿宋" w:hAnsi="仿宋"/>
          <w:szCs w:val="32"/>
        </w:rPr>
        <w:t xml:space="preserve"> 两主体 三融入 四能力”专业教学模式的探索与实践项目立足于贯彻党的教育方针，落实“立德树人”根本任务，进而培养德智体美劳全面发展的高素质复合型技术技能人才。</w:t>
      </w:r>
    </w:p>
    <w:p>
      <w:pPr>
        <w:pStyle w:val="4"/>
        <w:ind w:firstLine="320" w:firstLineChars="100"/>
        <w:rPr>
          <w:b w:val="0"/>
          <w:bCs w:val="0"/>
        </w:rPr>
      </w:pPr>
      <w:bookmarkStart w:id="57" w:name="_Toc5424"/>
      <w:r>
        <w:rPr>
          <w:rFonts w:hint="eastAsia"/>
          <w:b w:val="0"/>
          <w:bCs w:val="0"/>
        </w:rPr>
        <w:t>3</w:t>
      </w:r>
      <w:r>
        <w:rPr>
          <w:b w:val="0"/>
          <w:bCs w:val="0"/>
        </w:rPr>
        <w:t>.2.2</w:t>
      </w:r>
      <w:r>
        <w:rPr>
          <w:rFonts w:hint="eastAsia"/>
          <w:b w:val="0"/>
          <w:bCs w:val="0"/>
        </w:rPr>
        <w:t>推进高职学校高质量发展</w:t>
      </w:r>
      <w:bookmarkEnd w:id="57"/>
    </w:p>
    <w:p>
      <w:pPr>
        <w:autoSpaceDE w:val="0"/>
        <w:autoSpaceDN w:val="0"/>
        <w:spacing w:before="190"/>
        <w:ind w:left="936" w:firstLine="640" w:firstLineChars="200"/>
        <w:jc w:val="left"/>
        <w:rPr>
          <w:rFonts w:ascii="仿宋" w:hAnsi="仿宋"/>
          <w:szCs w:val="32"/>
        </w:rPr>
      </w:pPr>
      <w:r>
        <w:rPr>
          <w:rFonts w:hint="eastAsia" w:ascii="仿宋" w:hAnsi="仿宋"/>
          <w:szCs w:val="32"/>
        </w:rPr>
        <w:t>学院始终坚持继续做好职业本科转设工作。目前，因受疫情等因素的影响，教育部专家来校现场评估已经放缓，但学院目前仍然严格对照标准，强弱项、补短板，尤其是本科专业的建设更是严谨、规范地有序推进。</w:t>
      </w:r>
      <w:r>
        <w:rPr>
          <w:rFonts w:ascii="仿宋" w:hAnsi="仿宋"/>
          <w:szCs w:val="32"/>
        </w:rPr>
        <w:cr/>
      </w:r>
      <w:r>
        <w:rPr>
          <w:rFonts w:ascii="仿宋" w:hAnsi="仿宋"/>
          <w:szCs w:val="32"/>
        </w:rPr>
        <w:t xml:space="preserve">    </w:t>
      </w:r>
      <w:r>
        <w:rPr>
          <w:rFonts w:hint="eastAsia" w:ascii="仿宋" w:hAnsi="仿宋"/>
          <w:szCs w:val="32"/>
        </w:rPr>
        <w:t>近三年来，学院进一步</w:t>
      </w:r>
      <w:r>
        <w:rPr>
          <w:rFonts w:ascii="仿宋" w:hAnsi="仿宋"/>
          <w:szCs w:val="32"/>
        </w:rPr>
        <w:t>加强校企合作规范管理，积极探索举办高职本科专业。例如</w:t>
      </w:r>
      <w:r>
        <w:rPr>
          <w:rFonts w:hint="eastAsia" w:ascii="仿宋" w:hAnsi="仿宋"/>
          <w:szCs w:val="32"/>
        </w:rPr>
        <w:t>积极</w:t>
      </w:r>
      <w:r>
        <w:rPr>
          <w:rFonts w:ascii="仿宋" w:hAnsi="仿宋"/>
          <w:szCs w:val="32"/>
        </w:rPr>
        <w:t>与省内相关艺术院团合作开展艺术人才的定向委培，</w:t>
      </w:r>
      <w:r>
        <w:rPr>
          <w:rFonts w:hint="eastAsia" w:ascii="仿宋" w:hAnsi="仿宋"/>
          <w:szCs w:val="32"/>
        </w:rPr>
        <w:t>并</w:t>
      </w:r>
      <w:r>
        <w:rPr>
          <w:rFonts w:ascii="仿宋" w:hAnsi="仿宋"/>
          <w:szCs w:val="32"/>
        </w:rPr>
        <w:t>在此基础上</w:t>
      </w:r>
      <w:r>
        <w:rPr>
          <w:rFonts w:hint="eastAsia" w:ascii="仿宋" w:hAnsi="仿宋"/>
          <w:szCs w:val="32"/>
        </w:rPr>
        <w:t>尝试论证</w:t>
      </w:r>
      <w:r>
        <w:rPr>
          <w:rFonts w:ascii="仿宋" w:hAnsi="仿宋"/>
          <w:szCs w:val="32"/>
        </w:rPr>
        <w:t>联合申办高职本科专业。深化校企合作，鼓励</w:t>
      </w:r>
      <w:r>
        <w:rPr>
          <w:rFonts w:hint="eastAsia" w:ascii="仿宋" w:hAnsi="仿宋"/>
          <w:szCs w:val="32"/>
        </w:rPr>
        <w:t>一线</w:t>
      </w:r>
      <w:r>
        <w:rPr>
          <w:rFonts w:ascii="仿宋" w:hAnsi="仿宋"/>
          <w:szCs w:val="32"/>
        </w:rPr>
        <w:t>教师到企业实践、任职，积累行业经验；引进企业专家作为兼职教师，定期来校授课指导，引导企业深度参与学院技术技能人才培养培训</w:t>
      </w:r>
      <w:r>
        <w:rPr>
          <w:rFonts w:hint="eastAsia" w:ascii="仿宋" w:hAnsi="仿宋"/>
          <w:szCs w:val="32"/>
        </w:rPr>
        <w:t>。</w:t>
      </w:r>
    </w:p>
    <w:p>
      <w:pPr>
        <w:autoSpaceDE w:val="0"/>
        <w:autoSpaceDN w:val="0"/>
        <w:spacing w:before="190"/>
        <w:ind w:left="936" w:firstLine="640" w:firstLineChars="200"/>
        <w:jc w:val="left"/>
        <w:rPr>
          <w:rFonts w:ascii="仿宋" w:hAnsi="仿宋"/>
          <w:szCs w:val="32"/>
        </w:rPr>
      </w:pPr>
      <w:r>
        <w:rPr>
          <w:rFonts w:hint="eastAsia" w:ascii="仿宋" w:hAnsi="仿宋"/>
          <w:szCs w:val="32"/>
        </w:rPr>
        <w:t>目前</w:t>
      </w:r>
      <w:r>
        <w:rPr>
          <w:rFonts w:ascii="仿宋" w:hAnsi="仿宋"/>
          <w:szCs w:val="32"/>
        </w:rPr>
        <w:t>，</w:t>
      </w:r>
      <w:r>
        <w:rPr>
          <w:rFonts w:hint="eastAsia" w:ascii="仿宋" w:hAnsi="仿宋"/>
          <w:szCs w:val="32"/>
        </w:rPr>
        <w:t>学院正在</w:t>
      </w:r>
      <w:r>
        <w:rPr>
          <w:rFonts w:ascii="仿宋" w:hAnsi="仿宋"/>
          <w:szCs w:val="32"/>
        </w:rPr>
        <w:t>打造一支高水平“双师型”教师队伍，</w:t>
      </w:r>
      <w:r>
        <w:rPr>
          <w:rFonts w:hint="eastAsia" w:ascii="仿宋" w:hAnsi="仿宋"/>
          <w:szCs w:val="32"/>
        </w:rPr>
        <w:t>积极争取</w:t>
      </w:r>
      <w:r>
        <w:rPr>
          <w:rFonts w:ascii="仿宋" w:hAnsi="仿宋"/>
          <w:szCs w:val="32"/>
        </w:rPr>
        <w:t>创造一流办学条件，打造一流品牌专业（群），培养一流文旅技能人才，提供一流社会服务，形成</w:t>
      </w:r>
      <w:r>
        <w:rPr>
          <w:rFonts w:hint="eastAsia" w:ascii="仿宋" w:hAnsi="仿宋"/>
          <w:szCs w:val="32"/>
        </w:rPr>
        <w:t>了较</w:t>
      </w:r>
      <w:r>
        <w:rPr>
          <w:rFonts w:ascii="仿宋" w:hAnsi="仿宋"/>
          <w:szCs w:val="32"/>
        </w:rPr>
        <w:t>良好的办学机制和校园文化，</w:t>
      </w:r>
      <w:r>
        <w:rPr>
          <w:rFonts w:hint="eastAsia" w:ascii="仿宋" w:hAnsi="仿宋"/>
          <w:szCs w:val="32"/>
        </w:rPr>
        <w:t>逐步迈向</w:t>
      </w:r>
      <w:r>
        <w:rPr>
          <w:rFonts w:ascii="仿宋" w:hAnsi="仿宋"/>
          <w:szCs w:val="32"/>
        </w:rPr>
        <w:t>建设高水平</w:t>
      </w:r>
      <w:r>
        <w:rPr>
          <w:rFonts w:hint="eastAsia" w:ascii="仿宋" w:hAnsi="仿宋"/>
          <w:szCs w:val="32"/>
        </w:rPr>
        <w:t>高等职业</w:t>
      </w:r>
      <w:r>
        <w:rPr>
          <w:rFonts w:ascii="仿宋" w:hAnsi="仿宋"/>
          <w:szCs w:val="32"/>
        </w:rPr>
        <w:t>院校的目标。</w:t>
      </w:r>
    </w:p>
    <w:p>
      <w:pPr>
        <w:pStyle w:val="4"/>
        <w:ind w:firstLine="320" w:firstLineChars="100"/>
        <w:rPr>
          <w:b w:val="0"/>
          <w:bCs w:val="0"/>
        </w:rPr>
      </w:pPr>
      <w:bookmarkStart w:id="58" w:name="_Toc21768"/>
      <w:r>
        <w:rPr>
          <w:rFonts w:hint="eastAsia"/>
          <w:b w:val="0"/>
          <w:bCs w:val="0"/>
        </w:rPr>
        <w:t>3</w:t>
      </w:r>
      <w:r>
        <w:rPr>
          <w:b w:val="0"/>
          <w:bCs w:val="0"/>
        </w:rPr>
        <w:t>.2.3</w:t>
      </w:r>
      <w:r>
        <w:rPr>
          <w:rFonts w:hint="eastAsia"/>
          <w:b w:val="0"/>
          <w:bCs w:val="0"/>
        </w:rPr>
        <w:t>着力建设高水平专业群</w:t>
      </w:r>
      <w:bookmarkEnd w:id="58"/>
    </w:p>
    <w:p>
      <w:pPr>
        <w:autoSpaceDE w:val="0"/>
        <w:autoSpaceDN w:val="0"/>
        <w:spacing w:before="190"/>
        <w:ind w:left="936" w:firstLine="640" w:firstLineChars="200"/>
        <w:jc w:val="left"/>
        <w:rPr>
          <w:rFonts w:ascii="仿宋" w:hAnsi="仿宋"/>
          <w:szCs w:val="32"/>
        </w:rPr>
      </w:pPr>
      <w:r>
        <w:rPr>
          <w:rFonts w:hint="eastAsia" w:ascii="仿宋" w:hAnsi="仿宋"/>
          <w:szCs w:val="32"/>
        </w:rPr>
        <w:t>学院对接文化产业发展，积极推动专业建设，坚持艺术为本的发展思路，全力建设表演艺术专业群。</w:t>
      </w:r>
      <w:r>
        <w:rPr>
          <w:rFonts w:ascii="仿宋" w:hAnsi="仿宋"/>
          <w:szCs w:val="32"/>
        </w:rPr>
        <w:t>进一步适应湖南文化产业集群和文化艺术产业群的发展需求，坚持把对接文化产业发展放在首位，努力实现社会效益和人才培养效益的统一；围绕艺术为本的办学思路对学院专业建设进行调整。</w:t>
      </w:r>
    </w:p>
    <w:p>
      <w:pPr>
        <w:autoSpaceDE w:val="0"/>
        <w:autoSpaceDN w:val="0"/>
        <w:spacing w:before="190"/>
        <w:ind w:left="936" w:firstLine="640" w:firstLineChars="200"/>
        <w:jc w:val="left"/>
        <w:rPr>
          <w:rFonts w:ascii="仿宋" w:hAnsi="仿宋"/>
          <w:szCs w:val="32"/>
        </w:rPr>
      </w:pPr>
      <w:r>
        <w:rPr>
          <w:rFonts w:ascii="仿宋" w:hAnsi="仿宋"/>
          <w:szCs w:val="32"/>
        </w:rPr>
        <w:t>当前，学院设置了以表演艺术类专业为核心的29个专业，主要涵盖艺术设计传媒和旅游两大类；以表演艺术专业为特色，以戏剧、音乐、舞蹈、美术、影视、播音主持等专业为优势，打造了以表演艺术专业群、艺术设计专业群、广播影视专业群、艺术教育与文化旅游专业群为核心的4个专</w:t>
      </w:r>
      <w:r>
        <w:rPr>
          <w:rFonts w:hint="eastAsia" w:ascii="仿宋" w:hAnsi="仿宋"/>
          <w:szCs w:val="32"/>
        </w:rPr>
        <w:t>业集群，表演艺术专业群成功</w:t>
      </w:r>
      <w:r>
        <w:rPr>
          <w:rFonts w:ascii="仿宋" w:hAnsi="仿宋"/>
          <w:szCs w:val="32"/>
        </w:rPr>
        <w:t>立项湖南省“双一流”特色专业群。</w:t>
      </w:r>
    </w:p>
    <w:p>
      <w:pPr>
        <w:pStyle w:val="3"/>
      </w:pPr>
      <w:bookmarkStart w:id="59" w:name="_Toc14167"/>
      <w:r>
        <w:rPr>
          <w:rFonts w:hint="eastAsia"/>
        </w:rPr>
        <w:t>3</w:t>
      </w:r>
      <w:r>
        <w:t>.3</w:t>
      </w:r>
      <w:r>
        <w:rPr>
          <w:rFonts w:hint="eastAsia"/>
        </w:rPr>
        <w:t>质量保障</w:t>
      </w:r>
      <w:bookmarkEnd w:id="59"/>
    </w:p>
    <w:p>
      <w:pPr>
        <w:pStyle w:val="4"/>
        <w:ind w:firstLine="320" w:firstLineChars="100"/>
        <w:rPr>
          <w:b w:val="0"/>
          <w:bCs w:val="0"/>
        </w:rPr>
      </w:pPr>
      <w:bookmarkStart w:id="60" w:name="_Toc86"/>
      <w:r>
        <w:rPr>
          <w:rFonts w:hint="eastAsia"/>
          <w:b w:val="0"/>
          <w:bCs w:val="0"/>
        </w:rPr>
        <w:t>3</w:t>
      </w:r>
      <w:r>
        <w:rPr>
          <w:b w:val="0"/>
          <w:bCs w:val="0"/>
        </w:rPr>
        <w:t>.3.1</w:t>
      </w:r>
      <w:r>
        <w:rPr>
          <w:rFonts w:hint="eastAsia"/>
          <w:b w:val="0"/>
          <w:bCs w:val="0"/>
        </w:rPr>
        <w:t>全面推进教学工作诊改</w:t>
      </w:r>
      <w:bookmarkEnd w:id="60"/>
    </w:p>
    <w:p>
      <w:pPr>
        <w:autoSpaceDE w:val="0"/>
        <w:autoSpaceDN w:val="0"/>
        <w:spacing w:before="190"/>
        <w:ind w:left="936" w:firstLine="640" w:firstLineChars="200"/>
        <w:jc w:val="left"/>
        <w:rPr>
          <w:rFonts w:ascii="仿宋" w:hAnsi="仿宋"/>
          <w:szCs w:val="32"/>
        </w:rPr>
      </w:pPr>
      <w:r>
        <w:rPr>
          <w:rFonts w:hint="eastAsia" w:ascii="仿宋" w:hAnsi="仿宋"/>
          <w:szCs w:val="32"/>
        </w:rPr>
        <w:t>学院以转设建设职业本科大学为契机，狠抓课堂规范，人才培养，专业发展，对</w:t>
      </w:r>
      <w:r>
        <w:rPr>
          <w:rFonts w:ascii="仿宋" w:hAnsi="仿宋"/>
          <w:szCs w:val="32"/>
        </w:rPr>
        <w:t>2020年教师技能考核排名末位的教师课堂开展“回头看”活动，组织督导专家进入课堂，找准课堂问题，开展集中导课、梳课，提高了2020年教师技能考核排名末位教师的课堂教学质量</w:t>
      </w:r>
      <w:r>
        <w:rPr>
          <w:rFonts w:hint="eastAsia" w:ascii="仿宋" w:hAnsi="仿宋"/>
          <w:szCs w:val="32"/>
        </w:rPr>
        <w:t>。同时，</w:t>
      </w:r>
      <w:r>
        <w:rPr>
          <w:rFonts w:ascii="仿宋" w:hAnsi="仿宋"/>
          <w:szCs w:val="32"/>
        </w:rPr>
        <w:t>以每周周重点巡查为导引，先后开展2021年秋季学期新老生开学第一课督查活动，新生军训督查活动，琴房专项督查活动，教师课堂迟到督查活动，数据平台填报督查活动等，及时发现学校在新老生开学、教师师德师风、学生行为举止、物业保障、安全保卫、后勤卫生等方面的问题，并对发现的问题进行及时整改，全面构</w:t>
      </w:r>
      <w:r>
        <w:rPr>
          <w:rFonts w:hint="eastAsia" w:ascii="仿宋" w:hAnsi="仿宋"/>
          <w:szCs w:val="32"/>
        </w:rPr>
        <w:t>建“五位一体”督查质量保障体系。</w:t>
      </w:r>
    </w:p>
    <w:p>
      <w:pPr>
        <w:autoSpaceDE w:val="0"/>
        <w:autoSpaceDN w:val="0"/>
        <w:spacing w:before="190"/>
        <w:ind w:left="936" w:firstLine="640" w:firstLineChars="200"/>
        <w:jc w:val="left"/>
        <w:rPr>
          <w:rFonts w:ascii="仿宋" w:hAnsi="仿宋"/>
          <w:szCs w:val="32"/>
        </w:rPr>
      </w:pPr>
      <w:r>
        <w:rPr>
          <w:rFonts w:ascii="仿宋" w:hAnsi="仿宋"/>
          <w:szCs w:val="32"/>
        </w:rPr>
        <w:t>以数据平台为抓手，做好内部质量诊断与改进体系数据方面诊改工作，并以各项数据指标横向与纵向对比差距为依据，推动各部门再次审视专业人才培养方案、课程设置、师资配比、学生培养质量等方面的问题，并不断推动问题诊断与改进工作，为学院领导决策提供数据依据，为学院</w:t>
      </w:r>
      <w:r>
        <w:rPr>
          <w:rFonts w:hint="eastAsia" w:ascii="仿宋" w:hAnsi="仿宋"/>
          <w:szCs w:val="32"/>
        </w:rPr>
        <w:t>建设职业本科大学</w:t>
      </w:r>
      <w:r>
        <w:rPr>
          <w:rFonts w:ascii="仿宋" w:hAnsi="仿宋"/>
          <w:szCs w:val="32"/>
        </w:rPr>
        <w:t>提供数据支撑。</w:t>
      </w:r>
    </w:p>
    <w:p>
      <w:pPr>
        <w:pStyle w:val="4"/>
        <w:ind w:firstLine="320" w:firstLineChars="100"/>
        <w:rPr>
          <w:b w:val="0"/>
          <w:bCs w:val="0"/>
        </w:rPr>
      </w:pPr>
      <w:bookmarkStart w:id="61" w:name="_Toc5443"/>
      <w:r>
        <w:rPr>
          <w:rFonts w:hint="eastAsia"/>
          <w:b w:val="0"/>
          <w:bCs w:val="0"/>
        </w:rPr>
        <w:t>3</w:t>
      </w:r>
      <w:r>
        <w:rPr>
          <w:b w:val="0"/>
          <w:bCs w:val="0"/>
        </w:rPr>
        <w:t>.3.2</w:t>
      </w:r>
      <w:r>
        <w:rPr>
          <w:rFonts w:hint="eastAsia"/>
          <w:b w:val="0"/>
          <w:bCs w:val="0"/>
        </w:rPr>
        <w:t>不断完善两项抽查制度</w:t>
      </w:r>
      <w:bookmarkEnd w:id="61"/>
    </w:p>
    <w:p>
      <w:pPr>
        <w:autoSpaceDE w:val="0"/>
        <w:autoSpaceDN w:val="0"/>
        <w:spacing w:before="190"/>
        <w:ind w:left="936" w:firstLine="640" w:firstLineChars="200"/>
        <w:jc w:val="left"/>
        <w:rPr>
          <w:rFonts w:ascii="仿宋" w:hAnsi="仿宋"/>
          <w:szCs w:val="32"/>
        </w:rPr>
      </w:pPr>
      <w:r>
        <w:rPr>
          <w:rFonts w:hint="eastAsia" w:ascii="仿宋" w:hAnsi="仿宋"/>
          <w:szCs w:val="32"/>
        </w:rPr>
        <w:t>在省教育厅领导下，学院做好了每年度职业院系技能抽查和毕业设计抽查工作。</w:t>
      </w:r>
      <w:r>
        <w:rPr>
          <w:rFonts w:ascii="仿宋" w:hAnsi="仿宋"/>
          <w:szCs w:val="32"/>
        </w:rPr>
        <w:t>2021年度，学院各专业人才培养方案均通过省教育厅审核，</w:t>
      </w:r>
      <w:r>
        <w:rPr>
          <w:rFonts w:hint="eastAsia" w:ascii="仿宋" w:hAnsi="仿宋"/>
          <w:szCs w:val="32"/>
        </w:rPr>
        <w:t>目前，</w:t>
      </w:r>
      <w:r>
        <w:rPr>
          <w:rFonts w:ascii="仿宋" w:hAnsi="仿宋"/>
          <w:szCs w:val="32"/>
        </w:rPr>
        <w:t>戏曲表演、舞蹈表演、音乐表演等</w:t>
      </w:r>
      <w:r>
        <w:rPr>
          <w:rFonts w:hint="eastAsia" w:ascii="仿宋" w:hAnsi="仿宋"/>
          <w:szCs w:val="32"/>
        </w:rPr>
        <w:t>专业正积极</w:t>
      </w:r>
      <w:r>
        <w:rPr>
          <w:rFonts w:ascii="仿宋" w:hAnsi="仿宋"/>
          <w:szCs w:val="32"/>
        </w:rPr>
        <w:t>筹办本科专业</w:t>
      </w:r>
      <w:r>
        <w:rPr>
          <w:rFonts w:hint="eastAsia" w:ascii="仿宋" w:hAnsi="仿宋"/>
          <w:szCs w:val="32"/>
        </w:rPr>
        <w:t>，并</w:t>
      </w:r>
      <w:r>
        <w:rPr>
          <w:rFonts w:ascii="仿宋" w:hAnsi="仿宋"/>
          <w:szCs w:val="32"/>
        </w:rPr>
        <w:t>申报优秀人才培养方案。</w:t>
      </w:r>
      <w:r>
        <w:rPr>
          <w:rFonts w:ascii="仿宋" w:hAnsi="仿宋"/>
          <w:szCs w:val="32"/>
        </w:rPr>
        <w:cr/>
      </w:r>
      <w:r>
        <w:rPr>
          <w:rFonts w:ascii="仿宋" w:hAnsi="仿宋"/>
          <w:szCs w:val="32"/>
        </w:rPr>
        <w:t xml:space="preserve">    同时，根据省教育厅文件要求，进一步完善《内部质量诊改随机抽查工作细则》和《随机抽查事项清单》。扎实推动“双随机”工作尽快开展、形成常态、取得成效。</w:t>
      </w:r>
    </w:p>
    <w:p>
      <w:pPr>
        <w:pStyle w:val="4"/>
        <w:ind w:firstLine="320" w:firstLineChars="100"/>
        <w:rPr>
          <w:b w:val="0"/>
          <w:bCs w:val="0"/>
        </w:rPr>
      </w:pPr>
      <w:bookmarkStart w:id="62" w:name="_Toc1963"/>
      <w:r>
        <w:rPr>
          <w:rFonts w:hint="eastAsia"/>
          <w:b w:val="0"/>
          <w:bCs w:val="0"/>
        </w:rPr>
        <w:t>3</w:t>
      </w:r>
      <w:r>
        <w:rPr>
          <w:b w:val="0"/>
          <w:bCs w:val="0"/>
        </w:rPr>
        <w:t>.3.3</w:t>
      </w:r>
      <w:r>
        <w:rPr>
          <w:rFonts w:hint="eastAsia"/>
          <w:b w:val="0"/>
          <w:bCs w:val="0"/>
        </w:rPr>
        <w:t>建立建全教学管理制度</w:t>
      </w:r>
      <w:bookmarkEnd w:id="62"/>
    </w:p>
    <w:p>
      <w:pPr>
        <w:autoSpaceDE w:val="0"/>
        <w:autoSpaceDN w:val="0"/>
        <w:spacing w:before="190"/>
        <w:ind w:left="936" w:firstLine="640" w:firstLineChars="200"/>
        <w:jc w:val="left"/>
        <w:rPr>
          <w:rFonts w:ascii="仿宋" w:hAnsi="仿宋"/>
          <w:szCs w:val="32"/>
        </w:rPr>
      </w:pPr>
      <w:r>
        <w:rPr>
          <w:rFonts w:hint="eastAsia"/>
        </w:rPr>
        <w:t> </w:t>
      </w:r>
      <w:r>
        <w:rPr>
          <w:rFonts w:hint="eastAsia" w:ascii="仿宋" w:hAnsi="仿宋"/>
          <w:szCs w:val="32"/>
        </w:rPr>
        <w:t>在建立教学管理制度方面，学院积极发挥专兼职督导员队伍的评价作用，建立督导员全面参与教学管理制度，研究在教学质量、评职晋升、项目建设中运用督导评价结果的有效方法。以美术系、文旅系、影视系相关专业为重点，覆盖戏剧、舞蹈、音乐三大系部，进一步指导规范新进教师专业技能课堂教学，在“一案四标”方面加强诊断与改进。采取听课评课、诊断建议、集体学习等措施，着力加强了校企合作核心</w:t>
      </w:r>
      <w:r>
        <w:rPr>
          <w:rFonts w:ascii="仿宋" w:hAnsi="仿宋"/>
          <w:szCs w:val="32"/>
        </w:rPr>
        <w:t>课程的新进教师课堂教学导课。</w:t>
      </w:r>
    </w:p>
    <w:p>
      <w:pPr>
        <w:autoSpaceDE w:val="0"/>
        <w:autoSpaceDN w:val="0"/>
        <w:spacing w:before="190"/>
        <w:ind w:left="936" w:firstLine="640" w:firstLineChars="200"/>
        <w:jc w:val="left"/>
        <w:rPr>
          <w:rFonts w:ascii="仿宋" w:hAnsi="仿宋"/>
          <w:szCs w:val="32"/>
        </w:rPr>
      </w:pPr>
      <w:r>
        <w:rPr>
          <w:rFonts w:ascii="仿宋" w:hAnsi="仿宋"/>
          <w:szCs w:val="32"/>
        </w:rPr>
        <w:t>同时，建立</w:t>
      </w:r>
      <w:r>
        <w:rPr>
          <w:rFonts w:hint="eastAsia" w:ascii="仿宋" w:hAnsi="仿宋"/>
          <w:szCs w:val="32"/>
        </w:rPr>
        <w:t>了</w:t>
      </w:r>
      <w:r>
        <w:rPr>
          <w:rFonts w:ascii="仿宋" w:hAnsi="仿宋"/>
          <w:szCs w:val="32"/>
        </w:rPr>
        <w:t>信息员数据采集、回馈与诊断工作小组，保障数据采集制度，建立数据回馈与诊改机制，不断提升数据采集质量</w:t>
      </w:r>
      <w:r>
        <w:rPr>
          <w:rFonts w:hint="eastAsia" w:ascii="仿宋" w:hAnsi="仿宋"/>
          <w:szCs w:val="32"/>
        </w:rPr>
        <w:t>，诊断学院在人才培养、课程教学、师资队伍、制度管理等方面存在的问题，即时改进，循环提升。</w:t>
      </w:r>
    </w:p>
    <w:p>
      <w:pPr>
        <w:autoSpaceDE w:val="0"/>
        <w:autoSpaceDN w:val="0"/>
        <w:spacing w:before="190"/>
        <w:ind w:left="936" w:firstLine="640" w:firstLineChars="200"/>
        <w:jc w:val="left"/>
        <w:rPr>
          <w:rFonts w:ascii="仿宋" w:hAnsi="仿宋"/>
          <w:szCs w:val="32"/>
        </w:rPr>
      </w:pPr>
      <w:r>
        <w:rPr>
          <w:rFonts w:ascii="仿宋" w:hAnsi="仿宋"/>
          <w:szCs w:val="32"/>
        </w:rPr>
        <w:t>本年度为了更好地规范教学水平，根据</w:t>
      </w:r>
      <w:r>
        <w:rPr>
          <w:rFonts w:hint="eastAsia" w:ascii="仿宋" w:hAnsi="仿宋"/>
          <w:szCs w:val="32"/>
        </w:rPr>
        <w:t>建设职业本科大学</w:t>
      </w:r>
      <w:r>
        <w:rPr>
          <w:rFonts w:ascii="仿宋" w:hAnsi="仿宋"/>
          <w:szCs w:val="32"/>
        </w:rPr>
        <w:t>工作要求，进一步出台了《湖南艺术职业学院教案撰写规范（试行）》《湖南艺术职业学院“双师型”教师认定标准（试行)》等教学工作管理条例，提升学院教育教学工作水平和工作质量。</w:t>
      </w:r>
    </w:p>
    <w:p>
      <w:pPr>
        <w:pStyle w:val="3"/>
      </w:pPr>
      <w:bookmarkStart w:id="63" w:name="_Toc23066"/>
      <w:r>
        <w:rPr>
          <w:rFonts w:hint="eastAsia"/>
        </w:rPr>
        <w:t>3</w:t>
      </w:r>
      <w:r>
        <w:t>.4</w:t>
      </w:r>
      <w:r>
        <w:rPr>
          <w:rFonts w:hint="eastAsia"/>
        </w:rPr>
        <w:t>经费保障</w:t>
      </w:r>
      <w:bookmarkEnd w:id="63"/>
    </w:p>
    <w:p>
      <w:pPr>
        <w:pStyle w:val="4"/>
        <w:ind w:firstLine="320" w:firstLineChars="100"/>
        <w:rPr>
          <w:b w:val="0"/>
          <w:bCs w:val="0"/>
        </w:rPr>
      </w:pPr>
      <w:bookmarkStart w:id="64" w:name="_Toc28231"/>
      <w:r>
        <w:rPr>
          <w:rFonts w:hint="eastAsia"/>
          <w:b w:val="0"/>
          <w:bCs w:val="0"/>
        </w:rPr>
        <w:t>3</w:t>
      </w:r>
      <w:r>
        <w:rPr>
          <w:b w:val="0"/>
          <w:bCs w:val="0"/>
        </w:rPr>
        <w:t>.4.1</w:t>
      </w:r>
      <w:r>
        <w:rPr>
          <w:rFonts w:hint="eastAsia"/>
          <w:b w:val="0"/>
          <w:bCs w:val="0"/>
        </w:rPr>
        <w:t>生均财政拨款略有减少</w:t>
      </w:r>
      <w:bookmarkEnd w:id="64"/>
    </w:p>
    <w:p>
      <w:pPr>
        <w:autoSpaceDE w:val="0"/>
        <w:autoSpaceDN w:val="0"/>
        <w:spacing w:before="190"/>
        <w:ind w:left="936" w:firstLine="640" w:firstLineChars="200"/>
        <w:jc w:val="left"/>
        <w:rPr>
          <w:rFonts w:ascii="仿宋" w:hAnsi="仿宋"/>
          <w:szCs w:val="32"/>
        </w:rPr>
      </w:pPr>
      <w:r>
        <w:rPr>
          <w:rFonts w:ascii="仿宋" w:hAnsi="仿宋"/>
          <w:szCs w:val="32"/>
        </w:rPr>
        <w:t>2021年生均财政拨款10473元，其中生均财政专项经费8855元。相较于去年生均财政拨款10917元，略有减少。</w:t>
      </w:r>
    </w:p>
    <w:p>
      <w:pPr>
        <w:pStyle w:val="4"/>
        <w:ind w:firstLine="320" w:firstLineChars="100"/>
        <w:rPr>
          <w:b w:val="0"/>
          <w:bCs w:val="0"/>
        </w:rPr>
      </w:pPr>
      <w:bookmarkStart w:id="65" w:name="_Toc13826"/>
      <w:r>
        <w:rPr>
          <w:rFonts w:hint="eastAsia"/>
          <w:b w:val="0"/>
          <w:bCs w:val="0"/>
        </w:rPr>
        <w:t>3</w:t>
      </w:r>
      <w:r>
        <w:rPr>
          <w:b w:val="0"/>
          <w:bCs w:val="0"/>
        </w:rPr>
        <w:t>.4.2</w:t>
      </w:r>
      <w:r>
        <w:rPr>
          <w:rFonts w:hint="eastAsia"/>
          <w:b w:val="0"/>
          <w:bCs w:val="0"/>
        </w:rPr>
        <w:t>生均学费略有增长</w:t>
      </w:r>
      <w:bookmarkEnd w:id="65"/>
    </w:p>
    <w:p>
      <w:pPr>
        <w:autoSpaceDE w:val="0"/>
        <w:autoSpaceDN w:val="0"/>
        <w:spacing w:before="190"/>
        <w:ind w:left="936" w:firstLine="640" w:firstLineChars="200"/>
        <w:jc w:val="left"/>
        <w:rPr>
          <w:rFonts w:ascii="仿宋" w:hAnsi="仿宋"/>
          <w:szCs w:val="32"/>
        </w:rPr>
      </w:pPr>
      <w:r>
        <w:rPr>
          <w:rFonts w:ascii="仿宋" w:hAnsi="仿宋"/>
          <w:szCs w:val="32"/>
        </w:rPr>
        <w:t>2021年学院学费总收入4252万元，生均学费6686元。相较于去年学费总收入3904万元、生均学费5785元，有所增长。</w:t>
      </w:r>
    </w:p>
    <w:p>
      <w:pPr>
        <w:pStyle w:val="4"/>
        <w:ind w:firstLine="320" w:firstLineChars="100"/>
        <w:rPr>
          <w:b w:val="0"/>
          <w:bCs w:val="0"/>
        </w:rPr>
      </w:pPr>
      <w:bookmarkStart w:id="66" w:name="_Toc7676"/>
      <w:r>
        <w:rPr>
          <w:rFonts w:hint="eastAsia"/>
          <w:b w:val="0"/>
          <w:bCs w:val="0"/>
        </w:rPr>
        <w:t>3</w:t>
      </w:r>
      <w:r>
        <w:rPr>
          <w:b w:val="0"/>
          <w:bCs w:val="0"/>
        </w:rPr>
        <w:t>.4.3</w:t>
      </w:r>
      <w:r>
        <w:rPr>
          <w:rFonts w:hint="eastAsia"/>
          <w:b w:val="0"/>
          <w:bCs w:val="0"/>
        </w:rPr>
        <w:t>举办者投入增幅明显</w:t>
      </w:r>
      <w:bookmarkEnd w:id="66"/>
    </w:p>
    <w:p>
      <w:pPr>
        <w:autoSpaceDE w:val="0"/>
        <w:autoSpaceDN w:val="0"/>
        <w:spacing w:before="190"/>
        <w:ind w:left="936" w:firstLine="640" w:firstLineChars="200"/>
        <w:jc w:val="left"/>
        <w:rPr>
          <w:rFonts w:ascii="仿宋" w:hAnsi="仿宋"/>
          <w:szCs w:val="32"/>
        </w:rPr>
      </w:pPr>
      <w:r>
        <w:rPr>
          <w:rFonts w:ascii="仿宋" w:hAnsi="仿宋"/>
          <w:szCs w:val="32"/>
        </w:rPr>
        <w:t>2021年学院办学投入总额12168.9万元，其中日常教学经费</w:t>
      </w:r>
      <w:r>
        <w:rPr>
          <w:rFonts w:ascii="Calibri" w:hAnsi="Calibri" w:cs="Calibri"/>
          <w:szCs w:val="32"/>
        </w:rPr>
        <w:t> </w:t>
      </w:r>
      <w:r>
        <w:rPr>
          <w:rFonts w:ascii="仿宋" w:hAnsi="仿宋"/>
          <w:szCs w:val="32"/>
        </w:rPr>
        <w:t>2740.68万元，教学改革及研究投入439.83万元，师资建设92.49万元，图书购置119万元，其他支出总额7969.28万元。相对于2020年学院办学投入10818.08万元，今年增加了1350.82万元，增幅达12.49%。</w:t>
      </w:r>
    </w:p>
    <w:p>
      <w:pPr>
        <w:pStyle w:val="4"/>
        <w:ind w:firstLine="320" w:firstLineChars="100"/>
        <w:rPr>
          <w:b w:val="0"/>
          <w:bCs w:val="0"/>
        </w:rPr>
      </w:pPr>
      <w:bookmarkStart w:id="67" w:name="_Toc1217"/>
      <w:r>
        <w:rPr>
          <w:rFonts w:hint="eastAsia"/>
          <w:b w:val="0"/>
          <w:bCs w:val="0"/>
        </w:rPr>
        <w:t>3</w:t>
      </w:r>
      <w:r>
        <w:rPr>
          <w:b w:val="0"/>
          <w:bCs w:val="0"/>
        </w:rPr>
        <w:t>.4.4</w:t>
      </w:r>
      <w:r>
        <w:rPr>
          <w:rFonts w:hint="eastAsia"/>
          <w:b w:val="0"/>
          <w:bCs w:val="0"/>
        </w:rPr>
        <w:t>绩效评价</w:t>
      </w:r>
      <w:bookmarkEnd w:id="67"/>
    </w:p>
    <w:p>
      <w:pPr>
        <w:autoSpaceDE w:val="0"/>
        <w:autoSpaceDN w:val="0"/>
        <w:spacing w:before="190"/>
        <w:ind w:left="936" w:firstLine="640" w:firstLineChars="200"/>
        <w:jc w:val="left"/>
        <w:rPr>
          <w:rFonts w:ascii="仿宋" w:hAnsi="仿宋"/>
          <w:szCs w:val="32"/>
        </w:rPr>
      </w:pPr>
      <w:r>
        <w:rPr>
          <w:rFonts w:ascii="仿宋" w:hAnsi="仿宋"/>
          <w:szCs w:val="32"/>
        </w:rPr>
        <w:t>2021年学院财务处配合系部完成文化综合、教育综合、双一流建设等绩效评价6个。</w:t>
      </w:r>
    </w:p>
    <w:p>
      <w:pPr>
        <w:pStyle w:val="2"/>
      </w:pPr>
      <w:bookmarkStart w:id="68" w:name="_Toc8135"/>
      <w:r>
        <w:rPr>
          <w:rFonts w:hint="eastAsia"/>
        </w:rPr>
        <w:t>4国际合作</w:t>
      </w:r>
      <w:bookmarkEnd w:id="68"/>
    </w:p>
    <w:p>
      <w:pPr>
        <w:autoSpaceDE w:val="0"/>
        <w:autoSpaceDN w:val="0"/>
        <w:spacing w:before="190"/>
        <w:ind w:left="936" w:firstLine="640" w:firstLineChars="200"/>
        <w:jc w:val="left"/>
        <w:rPr>
          <w:rFonts w:ascii="仿宋" w:hAnsi="仿宋"/>
          <w:szCs w:val="32"/>
        </w:rPr>
      </w:pPr>
      <w:r>
        <w:rPr>
          <w:rFonts w:hint="eastAsia" w:ascii="仿宋" w:hAnsi="仿宋"/>
          <w:szCs w:val="32"/>
        </w:rPr>
        <w:t>学院国际交流合作尚处于萌芽阶段，近两年由于受到了新冠疫情的影响，有关</w:t>
      </w:r>
      <w:r>
        <w:rPr>
          <w:rFonts w:ascii="仿宋" w:hAnsi="仿宋"/>
          <w:szCs w:val="32"/>
        </w:rPr>
        <w:t>《湖南艺术职业学院“十四五”国际交流与合作规划》</w:t>
      </w:r>
      <w:r>
        <w:rPr>
          <w:rFonts w:hint="eastAsia" w:ascii="仿宋" w:hAnsi="仿宋"/>
          <w:szCs w:val="32"/>
        </w:rPr>
        <w:t>中计划开展的</w:t>
      </w:r>
      <w:r>
        <w:rPr>
          <w:rFonts w:ascii="仿宋" w:hAnsi="仿宋"/>
          <w:szCs w:val="32"/>
        </w:rPr>
        <w:t>国际化办学“三步走”战略</w:t>
      </w:r>
      <w:r>
        <w:rPr>
          <w:rFonts w:hint="eastAsia" w:ascii="仿宋" w:hAnsi="仿宋"/>
          <w:szCs w:val="32"/>
        </w:rPr>
        <w:t>、</w:t>
      </w:r>
      <w:r>
        <w:rPr>
          <w:rFonts w:ascii="仿宋" w:hAnsi="仿宋"/>
          <w:szCs w:val="32"/>
        </w:rPr>
        <w:t>“一带一路”艺术职业教育互联互通合作</w:t>
      </w:r>
      <w:r>
        <w:rPr>
          <w:rFonts w:hint="eastAsia" w:ascii="仿宋" w:hAnsi="仿宋"/>
          <w:szCs w:val="32"/>
        </w:rPr>
        <w:t>和</w:t>
      </w:r>
      <w:r>
        <w:rPr>
          <w:rFonts w:ascii="仿宋" w:hAnsi="仿宋"/>
          <w:szCs w:val="32"/>
        </w:rPr>
        <w:t>积极</w:t>
      </w:r>
      <w:r>
        <w:rPr>
          <w:rFonts w:hint="eastAsia" w:ascii="仿宋" w:hAnsi="仿宋"/>
          <w:szCs w:val="32"/>
        </w:rPr>
        <w:t>对接</w:t>
      </w:r>
      <w:r>
        <w:rPr>
          <w:rFonts w:ascii="仿宋" w:hAnsi="仿宋"/>
          <w:szCs w:val="32"/>
        </w:rPr>
        <w:t>东亚、东南亚国家艺术院校合作</w:t>
      </w:r>
      <w:r>
        <w:rPr>
          <w:rFonts w:hint="eastAsia" w:ascii="仿宋" w:hAnsi="仿宋"/>
          <w:szCs w:val="32"/>
        </w:rPr>
        <w:t>均处于停滞状态。</w:t>
      </w:r>
    </w:p>
    <w:p>
      <w:pPr>
        <w:pStyle w:val="2"/>
      </w:pPr>
      <w:bookmarkStart w:id="69" w:name="_Toc7785"/>
      <w:r>
        <w:t>5</w:t>
      </w:r>
      <w:r>
        <w:rPr>
          <w:rFonts w:hint="eastAsia"/>
        </w:rPr>
        <w:t>服务贡献</w:t>
      </w:r>
      <w:bookmarkEnd w:id="69"/>
    </w:p>
    <w:p>
      <w:pPr>
        <w:pStyle w:val="3"/>
      </w:pPr>
      <w:bookmarkStart w:id="70" w:name="_Toc14930"/>
      <w:r>
        <w:t>5.1</w:t>
      </w:r>
      <w:r>
        <w:rPr>
          <w:rFonts w:hint="eastAsia"/>
        </w:rPr>
        <w:t>落实高职扩招任务</w:t>
      </w:r>
      <w:bookmarkEnd w:id="70"/>
    </w:p>
    <w:p>
      <w:pPr>
        <w:autoSpaceDE w:val="0"/>
        <w:autoSpaceDN w:val="0"/>
        <w:spacing w:before="190"/>
        <w:ind w:left="936" w:firstLine="640" w:firstLineChars="200"/>
        <w:jc w:val="left"/>
        <w:rPr>
          <w:rFonts w:ascii="仿宋" w:hAnsi="仿宋"/>
          <w:w w:val="95"/>
          <w:szCs w:val="32"/>
        </w:rPr>
      </w:pPr>
      <w:r>
        <w:rPr>
          <w:rFonts w:hint="eastAsia" w:ascii="仿宋" w:hAnsi="仿宋"/>
          <w:szCs w:val="32"/>
        </w:rPr>
        <w:t>由于</w:t>
      </w:r>
      <w:r>
        <w:rPr>
          <w:rFonts w:ascii="仿宋" w:hAnsi="仿宋"/>
          <w:szCs w:val="32"/>
        </w:rPr>
        <w:t>2019年扩招后学院师资力量和教学场地紧缺，学生宿舍床位已达最大容量，2020年</w:t>
      </w:r>
      <w:r>
        <w:rPr>
          <w:rFonts w:hint="eastAsia" w:ascii="仿宋" w:hAnsi="仿宋"/>
          <w:szCs w:val="32"/>
        </w:rPr>
        <w:t>、2</w:t>
      </w:r>
      <w:r>
        <w:rPr>
          <w:rFonts w:ascii="仿宋" w:hAnsi="仿宋"/>
          <w:szCs w:val="32"/>
        </w:rPr>
        <w:t>021</w:t>
      </w:r>
      <w:r>
        <w:rPr>
          <w:rFonts w:hint="eastAsia" w:ascii="仿宋" w:hAnsi="仿宋"/>
          <w:szCs w:val="32"/>
        </w:rPr>
        <w:t>年</w:t>
      </w:r>
      <w:r>
        <w:rPr>
          <w:rFonts w:ascii="仿宋" w:hAnsi="仿宋"/>
          <w:szCs w:val="32"/>
        </w:rPr>
        <w:t>学院</w:t>
      </w:r>
      <w:r>
        <w:rPr>
          <w:rFonts w:hint="eastAsia" w:ascii="仿宋" w:hAnsi="仿宋"/>
          <w:szCs w:val="32"/>
        </w:rPr>
        <w:t>始终</w:t>
      </w:r>
      <w:r>
        <w:rPr>
          <w:rFonts w:ascii="仿宋" w:hAnsi="仿宋"/>
          <w:szCs w:val="32"/>
        </w:rPr>
        <w:t>处于“满负荷”运转，故省教育厅2020年</w:t>
      </w:r>
      <w:r>
        <w:rPr>
          <w:rFonts w:hint="eastAsia" w:ascii="仿宋" w:hAnsi="仿宋"/>
          <w:szCs w:val="32"/>
        </w:rPr>
        <w:t>、</w:t>
      </w:r>
      <w:r>
        <w:rPr>
          <w:rFonts w:hint="eastAsia" w:ascii="仿宋" w:hAnsi="仿宋"/>
          <w:w w:val="95"/>
          <w:szCs w:val="32"/>
        </w:rPr>
        <w:t>2</w:t>
      </w:r>
      <w:r>
        <w:rPr>
          <w:rFonts w:ascii="仿宋" w:hAnsi="仿宋"/>
          <w:w w:val="95"/>
          <w:szCs w:val="32"/>
        </w:rPr>
        <w:t>021</w:t>
      </w:r>
      <w:r>
        <w:rPr>
          <w:rFonts w:hint="eastAsia" w:ascii="仿宋" w:hAnsi="仿宋"/>
          <w:w w:val="95"/>
          <w:szCs w:val="32"/>
        </w:rPr>
        <w:t>年</w:t>
      </w:r>
      <w:r>
        <w:rPr>
          <w:rFonts w:ascii="仿宋" w:hAnsi="仿宋"/>
          <w:w w:val="95"/>
          <w:szCs w:val="32"/>
        </w:rPr>
        <w:t>在做落实扩招计划时暂未将我院纳入扩招单位</w:t>
      </w:r>
      <w:r>
        <w:rPr>
          <w:rFonts w:hint="eastAsia" w:ascii="仿宋" w:hAnsi="仿宋"/>
          <w:w w:val="95"/>
          <w:szCs w:val="32"/>
        </w:rPr>
        <w:t>。</w:t>
      </w:r>
    </w:p>
    <w:p>
      <w:pPr>
        <w:pStyle w:val="3"/>
      </w:pPr>
      <w:bookmarkStart w:id="71" w:name="_Toc19029"/>
      <w:r>
        <w:t>5.2</w:t>
      </w:r>
      <w:r>
        <w:rPr>
          <w:rFonts w:hint="eastAsia"/>
        </w:rPr>
        <w:t>开展高质量职业培训</w:t>
      </w:r>
      <w:bookmarkEnd w:id="71"/>
    </w:p>
    <w:p>
      <w:pPr>
        <w:pStyle w:val="4"/>
        <w:ind w:firstLine="320" w:firstLineChars="100"/>
        <w:rPr>
          <w:b w:val="0"/>
          <w:bCs w:val="0"/>
        </w:rPr>
      </w:pPr>
      <w:bookmarkStart w:id="72" w:name="_Toc11654"/>
      <w:r>
        <w:rPr>
          <w:b w:val="0"/>
          <w:bCs w:val="0"/>
        </w:rPr>
        <w:t>5.2.1</w:t>
      </w:r>
      <w:r>
        <w:rPr>
          <w:rFonts w:hint="eastAsia"/>
          <w:b w:val="0"/>
          <w:bCs w:val="0"/>
        </w:rPr>
        <w:t>多平台助力提升培训能力</w:t>
      </w:r>
      <w:bookmarkEnd w:id="72"/>
    </w:p>
    <w:p>
      <w:pPr>
        <w:autoSpaceDE w:val="0"/>
        <w:autoSpaceDN w:val="0"/>
        <w:spacing w:before="190"/>
        <w:ind w:left="936" w:firstLine="640" w:firstLineChars="200"/>
        <w:jc w:val="left"/>
        <w:rPr>
          <w:rFonts w:ascii="仿宋" w:hAnsi="仿宋"/>
          <w:szCs w:val="32"/>
        </w:rPr>
      </w:pPr>
      <w:r>
        <w:rPr>
          <w:rFonts w:hint="eastAsia" w:ascii="仿宋" w:hAnsi="仿宋"/>
          <w:szCs w:val="32"/>
        </w:rPr>
        <w:t>学院目前拥有社会艺术水平考级考前培训、少儿艺术培训、基地培训和社区培训四大社会培训服务体系。学院自2012年以来，先后成为全国基层文化队伍培训基地、文化和旅游部湖南培训基地、全国文化信息资源共享工程培训基地、全国非遗传承人群研培基地、教育部“音乐剧”双师型教师培养培训基地、湖南省非物质文化遗产展演艺术交流传承基地和湖南省文化干部学校。</w:t>
      </w:r>
    </w:p>
    <w:p>
      <w:pPr>
        <w:autoSpaceDE w:val="0"/>
        <w:autoSpaceDN w:val="0"/>
        <w:spacing w:before="190"/>
        <w:ind w:left="936" w:firstLine="640" w:firstLineChars="200"/>
        <w:jc w:val="left"/>
        <w:rPr>
          <w:rFonts w:ascii="仿宋" w:hAnsi="仿宋"/>
          <w:szCs w:val="32"/>
        </w:rPr>
      </w:pPr>
      <w:r>
        <w:rPr>
          <w:rFonts w:hint="eastAsia" w:ascii="仿宋" w:hAnsi="仿宋"/>
          <w:szCs w:val="32"/>
        </w:rPr>
        <w:t>学院依托培训七大平台，以“控制培训数量、提升培训质量”为培训指导思想，不断加强培训内涵建设，扩大外延规模，组建了一支充满活力与激情的高素质管理团队，构建了完善成熟的师资库，建立一套完备的培训体系，全方位提升社会培训服务能力。</w:t>
      </w:r>
      <w:r>
        <w:rPr>
          <w:rFonts w:ascii="仿宋" w:hAnsi="仿宋"/>
          <w:szCs w:val="32"/>
        </w:rPr>
        <w:t>近8年来，培训人数达9000余人，培训班次达170余期，</w:t>
      </w:r>
      <w:r>
        <w:rPr>
          <w:rFonts w:hint="eastAsia" w:ascii="仿宋" w:hAnsi="仿宋"/>
          <w:szCs w:val="32"/>
        </w:rPr>
        <w:t>培训辐射功能</w:t>
      </w:r>
      <w:r>
        <w:rPr>
          <w:rFonts w:ascii="仿宋" w:hAnsi="仿宋"/>
          <w:szCs w:val="32"/>
        </w:rPr>
        <w:t>遍及全国。</w:t>
      </w:r>
    </w:p>
    <w:p>
      <w:pPr>
        <w:pStyle w:val="4"/>
        <w:ind w:firstLine="320" w:firstLineChars="100"/>
        <w:rPr>
          <w:b w:val="0"/>
          <w:bCs w:val="0"/>
        </w:rPr>
      </w:pPr>
      <w:bookmarkStart w:id="73" w:name="_Toc20215"/>
      <w:r>
        <w:rPr>
          <w:b w:val="0"/>
          <w:bCs w:val="0"/>
        </w:rPr>
        <w:t>5.2.2</w:t>
      </w:r>
      <w:r>
        <w:rPr>
          <w:rFonts w:hint="eastAsia"/>
          <w:b w:val="0"/>
          <w:bCs w:val="0"/>
        </w:rPr>
        <w:t>培训规模逐步扩大</w:t>
      </w:r>
      <w:bookmarkEnd w:id="73"/>
    </w:p>
    <w:p>
      <w:pPr>
        <w:autoSpaceDE w:val="0"/>
        <w:autoSpaceDN w:val="0"/>
        <w:spacing w:before="190"/>
        <w:ind w:left="936" w:firstLine="562" w:firstLineChars="200"/>
        <w:jc w:val="left"/>
        <w:rPr>
          <w:rFonts w:ascii="楷体" w:hAnsi="楷体" w:eastAsia="楷体"/>
          <w:b/>
          <w:bCs/>
          <w:sz w:val="28"/>
          <w:szCs w:val="28"/>
        </w:rPr>
      </w:pPr>
      <w:r>
        <w:rPr>
          <w:rFonts w:hint="eastAsia" w:ascii="楷体" w:hAnsi="楷体" w:eastAsia="楷体"/>
          <w:b/>
          <w:bCs/>
          <w:sz w:val="28"/>
          <w:szCs w:val="28"/>
        </w:rPr>
        <w:t>【典型案例5</w:t>
      </w:r>
      <w:r>
        <w:rPr>
          <w:rFonts w:ascii="楷体" w:hAnsi="楷体" w:eastAsia="楷体"/>
          <w:b/>
          <w:bCs/>
          <w:sz w:val="28"/>
          <w:szCs w:val="28"/>
        </w:rPr>
        <w:t>-1</w:t>
      </w:r>
      <w:r>
        <w:rPr>
          <w:rFonts w:hint="eastAsia" w:ascii="楷体" w:hAnsi="楷体" w:eastAsia="楷体"/>
          <w:b/>
          <w:bCs/>
          <w:sz w:val="28"/>
          <w:szCs w:val="28"/>
        </w:rPr>
        <w:t>】持续做大做强培训业务，为社会文化服务打通“最后一公里”</w:t>
      </w:r>
    </w:p>
    <w:p>
      <w:pPr>
        <w:autoSpaceDE w:val="0"/>
        <w:autoSpaceDN w:val="0"/>
        <w:spacing w:before="190"/>
        <w:ind w:left="936" w:firstLine="560" w:firstLineChars="200"/>
        <w:jc w:val="left"/>
        <w:rPr>
          <w:rFonts w:ascii="楷体" w:hAnsi="楷体" w:eastAsia="楷体"/>
          <w:sz w:val="28"/>
          <w:szCs w:val="28"/>
        </w:rPr>
      </w:pPr>
      <w:r>
        <w:rPr>
          <w:rFonts w:hint="eastAsia" w:ascii="楷体" w:hAnsi="楷体" w:eastAsia="楷体"/>
          <w:sz w:val="28"/>
          <w:szCs w:val="28"/>
        </w:rPr>
        <w:t>据统计，学院从20</w:t>
      </w:r>
      <w:r>
        <w:rPr>
          <w:rFonts w:ascii="楷体" w:hAnsi="楷体" w:eastAsia="楷体"/>
          <w:sz w:val="28"/>
          <w:szCs w:val="28"/>
        </w:rPr>
        <w:t>2</w:t>
      </w:r>
      <w:r>
        <w:rPr>
          <w:rFonts w:hint="eastAsia" w:ascii="楷体" w:hAnsi="楷体" w:eastAsia="楷体"/>
          <w:sz w:val="28"/>
          <w:szCs w:val="28"/>
        </w:rPr>
        <w:t>0年9月</w:t>
      </w:r>
      <w:r>
        <w:rPr>
          <w:rFonts w:ascii="楷体" w:hAnsi="楷体" w:eastAsia="楷体"/>
          <w:sz w:val="28"/>
          <w:szCs w:val="28"/>
        </w:rPr>
        <w:t>-</w:t>
      </w:r>
      <w:r>
        <w:rPr>
          <w:rFonts w:hint="eastAsia" w:ascii="楷体" w:hAnsi="楷体" w:eastAsia="楷体"/>
          <w:sz w:val="28"/>
          <w:szCs w:val="28"/>
        </w:rPr>
        <w:t>2021年8月共完成各类培训项目26期，培训学员22977人。其中，承担社会艺术水平考级考前培训19499人次、开展讲座专题培训2196人次、基地培训764人次。</w:t>
      </w:r>
    </w:p>
    <w:p>
      <w:pPr>
        <w:autoSpaceDE w:val="0"/>
        <w:autoSpaceDN w:val="0"/>
        <w:spacing w:before="190"/>
        <w:ind w:left="936" w:firstLine="560" w:firstLineChars="200"/>
        <w:jc w:val="left"/>
        <w:rPr>
          <w:rFonts w:ascii="楷体" w:hAnsi="楷体" w:eastAsia="楷体"/>
          <w:sz w:val="28"/>
          <w:szCs w:val="28"/>
        </w:rPr>
      </w:pPr>
      <w:r>
        <w:rPr>
          <w:rFonts w:hint="eastAsia" w:ascii="楷体" w:hAnsi="楷体" w:eastAsia="楷体"/>
          <w:sz w:val="28"/>
          <w:szCs w:val="28"/>
        </w:rPr>
        <w:t>培训规模覆盖全国32个省（自治区、直辖市和新疆建设兵团）文广新局和文化馆文旅从业人员以及社会艺术水平考级学生等。培训内容涉及数字文化工程建设、公共文化、非遗保护、音乐人才培养、舞蹈人才培训等多个方面。大力推进了国家文化强国的建设，整体提升了基层文化队伍的综合素质，补齐了文化发展人才短板，打通了社会文化服务培训的“最后一公里”。</w:t>
      </w:r>
    </w:p>
    <w:p>
      <w:pPr>
        <w:autoSpaceDE w:val="0"/>
        <w:autoSpaceDN w:val="0"/>
        <w:spacing w:before="190"/>
        <w:ind w:left="936" w:firstLine="562" w:firstLineChars="200"/>
        <w:jc w:val="left"/>
        <w:rPr>
          <w:rFonts w:hint="eastAsia" w:ascii="楷体" w:hAnsi="楷体" w:eastAsia="楷体"/>
          <w:b/>
          <w:bCs/>
          <w:sz w:val="28"/>
          <w:szCs w:val="28"/>
        </w:rPr>
      </w:pPr>
    </w:p>
    <w:p>
      <w:pPr>
        <w:autoSpaceDE w:val="0"/>
        <w:autoSpaceDN w:val="0"/>
        <w:spacing w:before="190"/>
        <w:ind w:left="936" w:firstLine="562" w:firstLineChars="200"/>
        <w:jc w:val="left"/>
        <w:rPr>
          <w:rFonts w:ascii="楷体" w:hAnsi="楷体" w:eastAsia="楷体"/>
          <w:b/>
          <w:bCs/>
          <w:sz w:val="28"/>
          <w:szCs w:val="28"/>
        </w:rPr>
      </w:pPr>
      <w:r>
        <w:rPr>
          <w:rFonts w:hint="eastAsia" w:ascii="楷体" w:hAnsi="楷体" w:eastAsia="楷体"/>
          <w:b/>
          <w:bCs/>
          <w:sz w:val="28"/>
          <w:szCs w:val="28"/>
        </w:rPr>
        <w:t>表5</w:t>
      </w:r>
      <w:r>
        <w:rPr>
          <w:rFonts w:ascii="楷体" w:hAnsi="楷体" w:eastAsia="楷体"/>
          <w:b/>
          <w:bCs/>
          <w:sz w:val="28"/>
          <w:szCs w:val="28"/>
        </w:rPr>
        <w:t xml:space="preserve">-1 </w:t>
      </w:r>
      <w:r>
        <w:rPr>
          <w:rFonts w:hint="eastAsia" w:ascii="楷体" w:hAnsi="楷体" w:eastAsia="楷体"/>
          <w:b/>
          <w:bCs/>
          <w:sz w:val="28"/>
          <w:szCs w:val="28"/>
        </w:rPr>
        <w:t>20</w:t>
      </w:r>
      <w:r>
        <w:rPr>
          <w:rFonts w:ascii="楷体" w:hAnsi="楷体" w:eastAsia="楷体"/>
          <w:b/>
          <w:bCs/>
          <w:sz w:val="28"/>
          <w:szCs w:val="28"/>
        </w:rPr>
        <w:t>2</w:t>
      </w:r>
      <w:r>
        <w:rPr>
          <w:rFonts w:hint="eastAsia" w:ascii="楷体" w:hAnsi="楷体" w:eastAsia="楷体"/>
          <w:b/>
          <w:bCs/>
          <w:sz w:val="28"/>
          <w:szCs w:val="28"/>
        </w:rPr>
        <w:t>0.9</w:t>
      </w:r>
      <w:r>
        <w:rPr>
          <w:rFonts w:ascii="楷体" w:hAnsi="楷体" w:eastAsia="楷体"/>
          <w:b/>
          <w:bCs/>
          <w:sz w:val="28"/>
          <w:szCs w:val="28"/>
        </w:rPr>
        <w:t xml:space="preserve"> -</w:t>
      </w:r>
      <w:r>
        <w:rPr>
          <w:rFonts w:hint="eastAsia" w:ascii="楷体" w:hAnsi="楷体" w:eastAsia="楷体"/>
          <w:b/>
          <w:bCs/>
          <w:sz w:val="28"/>
          <w:szCs w:val="28"/>
        </w:rPr>
        <w:t>2021.8各类培训一览表</w:t>
      </w:r>
    </w:p>
    <w:tbl>
      <w:tblPr>
        <w:tblStyle w:val="12"/>
        <w:tblW w:w="9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0"/>
        <w:gridCol w:w="2265"/>
        <w:gridCol w:w="669"/>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shd w:val="clear" w:color="auto" w:fill="9CC2E5"/>
            <w:vAlign w:val="center"/>
          </w:tcPr>
          <w:p>
            <w:pPr>
              <w:jc w:val="center"/>
              <w:rPr>
                <w:rFonts w:ascii="仿宋" w:hAnsi="仿宋"/>
                <w:b/>
                <w:bCs/>
                <w:sz w:val="21"/>
              </w:rPr>
            </w:pPr>
            <w:r>
              <w:rPr>
                <w:rFonts w:hint="eastAsia" w:ascii="仿宋" w:hAnsi="仿宋"/>
                <w:b/>
                <w:bCs/>
                <w:sz w:val="21"/>
              </w:rPr>
              <w:t>培训班名称</w:t>
            </w:r>
          </w:p>
        </w:tc>
        <w:tc>
          <w:tcPr>
            <w:tcW w:w="2265" w:type="dxa"/>
            <w:tcBorders>
              <w:top w:val="single" w:color="auto" w:sz="4" w:space="0"/>
              <w:left w:val="nil"/>
              <w:bottom w:val="single" w:color="auto" w:sz="4" w:space="0"/>
              <w:right w:val="single" w:color="auto" w:sz="4" w:space="0"/>
            </w:tcBorders>
            <w:shd w:val="clear" w:color="auto" w:fill="9CC2E5"/>
            <w:vAlign w:val="center"/>
          </w:tcPr>
          <w:p>
            <w:pPr>
              <w:jc w:val="center"/>
              <w:rPr>
                <w:rFonts w:ascii="仿宋" w:hAnsi="仿宋"/>
                <w:b/>
                <w:bCs/>
                <w:sz w:val="21"/>
              </w:rPr>
            </w:pPr>
            <w:r>
              <w:rPr>
                <w:rFonts w:hint="eastAsia" w:ascii="仿宋" w:hAnsi="仿宋"/>
                <w:b/>
                <w:bCs/>
                <w:sz w:val="21"/>
              </w:rPr>
              <w:t>培训类型</w:t>
            </w:r>
          </w:p>
        </w:tc>
        <w:tc>
          <w:tcPr>
            <w:tcW w:w="669" w:type="dxa"/>
            <w:tcBorders>
              <w:top w:val="single" w:color="auto" w:sz="4" w:space="0"/>
              <w:left w:val="nil"/>
              <w:bottom w:val="single" w:color="auto" w:sz="4" w:space="0"/>
              <w:right w:val="single" w:color="auto" w:sz="4" w:space="0"/>
            </w:tcBorders>
            <w:shd w:val="clear" w:color="auto" w:fill="9CC2E5"/>
            <w:vAlign w:val="center"/>
          </w:tcPr>
          <w:p>
            <w:pPr>
              <w:jc w:val="center"/>
              <w:rPr>
                <w:rFonts w:ascii="仿宋" w:hAnsi="仿宋"/>
                <w:b/>
                <w:bCs/>
                <w:sz w:val="21"/>
              </w:rPr>
            </w:pPr>
            <w:r>
              <w:rPr>
                <w:rFonts w:hint="eastAsia" w:ascii="仿宋" w:hAnsi="仿宋"/>
                <w:b/>
                <w:bCs/>
                <w:sz w:val="21"/>
              </w:rPr>
              <w:t>培训学时</w:t>
            </w:r>
          </w:p>
        </w:tc>
        <w:tc>
          <w:tcPr>
            <w:tcW w:w="797" w:type="dxa"/>
            <w:tcBorders>
              <w:top w:val="single" w:color="auto" w:sz="4" w:space="0"/>
              <w:left w:val="nil"/>
              <w:bottom w:val="single" w:color="auto" w:sz="4" w:space="0"/>
              <w:right w:val="single" w:color="auto" w:sz="4" w:space="0"/>
            </w:tcBorders>
            <w:shd w:val="clear" w:color="auto" w:fill="9CC2E5"/>
            <w:vAlign w:val="center"/>
          </w:tcPr>
          <w:p>
            <w:pPr>
              <w:jc w:val="center"/>
              <w:rPr>
                <w:rFonts w:ascii="仿宋" w:hAnsi="仿宋"/>
                <w:b/>
                <w:bCs/>
                <w:sz w:val="21"/>
              </w:rPr>
            </w:pPr>
            <w:r>
              <w:rPr>
                <w:rFonts w:hint="eastAsia" w:ascii="仿宋" w:hAnsi="仿宋"/>
                <w:b/>
                <w:bCs/>
                <w:sz w:val="21"/>
              </w:rPr>
              <w:t>培训人数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全国群众文艺音乐编创人才培训班(线上)</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全省“三区”人才舞蹈（文艺骨干）培训班（第一期）</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全省“三区”人才舞蹈（文艺骨干）培训班（第二期）</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全省“三区”人才非物质文化遗产培训班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2020年青海省文化馆公共数字文化工程融合发展专题培训班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40</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山西省乡镇红色文化与旅游扶贫培训班（第三期）</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2020年青海省海南州公共数字文化工程融合发展培训班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80</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青海省“三区”人才支持专项优秀群文工作者能力建设培训班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文化和旅游部行业音乐（声乐表演）重点人才培训班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2020年全国旅游演艺创新发展高级人才培训班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全省“三区”受援县乡镇综合文化站站长培训班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少儿艺术培训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非财政资金支付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128</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考级考前培训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16</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18471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戏曲进校园——湖南花鼓戏系列知识讲座</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中国非遗传承人群研修研习培训计划——湖南地方戏曲经典剧目</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240</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“送艺术、送医疗”活动，保健讲座、声乐讲座《爱馨抒怀》</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老年人歌唱与嗓音保健讲座</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湖南图书馆讲座《聆听经典 国乐悠扬——2020新年民乐赏析会》</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1487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全省“三区”人才音乐（文艺骨干）专题培训班（第一期）</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全省“三区”人才音乐（文艺骨干）专题培训班（第二期）</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2020年全省“三区”音乐人才培训班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财政资金支付</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56</w:t>
            </w:r>
          </w:p>
        </w:tc>
        <w:tc>
          <w:tcPr>
            <w:tcW w:w="797"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2020年少儿舞蹈集训考级培训课程(罗伟峰）</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16</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第十四届湖南艺术新星舞蹈比赛：剧目（何丹）</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16</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2020年中国歌剧舞剧院社会艺术水平考级考前培训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16</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湖南省沅江市文学艺术界联合会钢琴教学学术讨论会</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4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湖南省长沙市岳麓区导航艺术学校钢琴教师师资培训</w:t>
            </w:r>
          </w:p>
        </w:tc>
        <w:tc>
          <w:tcPr>
            <w:tcW w:w="226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免费公益项目</w:t>
            </w:r>
          </w:p>
        </w:tc>
        <w:tc>
          <w:tcPr>
            <w:tcW w:w="669"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color w:val="000000"/>
                <w:sz w:val="21"/>
              </w:rPr>
            </w:pPr>
            <w:r>
              <w:rPr>
                <w:rFonts w:hint="eastAsia" w:ascii="宋体" w:hAnsi="宋体" w:eastAsia="宋体"/>
                <w:color w:val="000000"/>
                <w:kern w:val="0"/>
                <w:sz w:val="18"/>
                <w:szCs w:val="18"/>
              </w:rPr>
              <w:t>4</w:t>
            </w:r>
          </w:p>
        </w:tc>
        <w:tc>
          <w:tcPr>
            <w:tcW w:w="797" w:type="dxa"/>
            <w:tcBorders>
              <w:top w:val="single" w:color="auto" w:sz="4" w:space="0"/>
              <w:left w:val="nil"/>
              <w:bottom w:val="single" w:color="auto" w:sz="4" w:space="0"/>
              <w:right w:val="single" w:color="auto" w:sz="4" w:space="0"/>
            </w:tcBorders>
            <w:vAlign w:val="center"/>
          </w:tcPr>
          <w:p>
            <w:pPr>
              <w:jc w:val="center"/>
              <w:rPr>
                <w:rFonts w:ascii="仿宋" w:hAnsi="仿宋"/>
                <w:color w:val="000000"/>
                <w:sz w:val="21"/>
              </w:rPr>
            </w:pPr>
            <w:r>
              <w:rPr>
                <w:rFonts w:hint="eastAsia" w:ascii="仿宋" w:hAnsi="仿宋"/>
                <w:color w:val="00000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7755"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240" w:lineRule="exact"/>
              <w:jc w:val="center"/>
              <w:rPr>
                <w:rFonts w:ascii="仿宋" w:hAnsi="仿宋"/>
                <w:color w:val="000000"/>
                <w:sz w:val="21"/>
              </w:rPr>
            </w:pPr>
            <w:r>
              <w:rPr>
                <w:rFonts w:hint="eastAsia" w:ascii="仿宋" w:hAnsi="仿宋"/>
                <w:color w:val="000000"/>
                <w:sz w:val="21"/>
              </w:rPr>
              <w:t>合计（人）</w:t>
            </w:r>
          </w:p>
        </w:tc>
        <w:tc>
          <w:tcPr>
            <w:tcW w:w="669" w:type="dxa"/>
            <w:tcBorders>
              <w:top w:val="single" w:color="auto" w:sz="4" w:space="0"/>
              <w:left w:val="nil"/>
              <w:bottom w:val="single" w:color="auto" w:sz="4" w:space="0"/>
              <w:right w:val="single" w:color="auto" w:sz="4" w:space="0"/>
            </w:tcBorders>
            <w:vAlign w:val="center"/>
          </w:tcPr>
          <w:p>
            <w:pPr>
              <w:autoSpaceDE w:val="0"/>
              <w:spacing w:line="240" w:lineRule="exact"/>
              <w:jc w:val="center"/>
              <w:rPr>
                <w:rFonts w:ascii="仿宋" w:hAnsi="仿宋"/>
                <w:color w:val="000000"/>
                <w:sz w:val="21"/>
              </w:rPr>
            </w:pPr>
            <w:r>
              <w:rPr>
                <w:rFonts w:hint="eastAsia" w:ascii="仿宋" w:hAnsi="仿宋"/>
                <w:color w:val="000000"/>
                <w:sz w:val="21"/>
              </w:rPr>
              <w:t>1248</w:t>
            </w:r>
          </w:p>
        </w:tc>
        <w:tc>
          <w:tcPr>
            <w:tcW w:w="797" w:type="dxa"/>
            <w:tcBorders>
              <w:top w:val="single" w:color="auto" w:sz="4" w:space="0"/>
              <w:left w:val="nil"/>
              <w:bottom w:val="single" w:color="auto" w:sz="4" w:space="0"/>
              <w:right w:val="single" w:color="auto" w:sz="4" w:space="0"/>
            </w:tcBorders>
            <w:vAlign w:val="center"/>
          </w:tcPr>
          <w:p>
            <w:pPr>
              <w:autoSpaceDE w:val="0"/>
              <w:spacing w:line="240" w:lineRule="exact"/>
              <w:jc w:val="center"/>
              <w:rPr>
                <w:rFonts w:ascii="仿宋" w:hAnsi="仿宋"/>
                <w:color w:val="000000"/>
                <w:sz w:val="21"/>
              </w:rPr>
            </w:pPr>
            <w:r>
              <w:rPr>
                <w:rFonts w:hint="eastAsia" w:ascii="仿宋" w:hAnsi="仿宋"/>
                <w:color w:val="000000"/>
                <w:sz w:val="21"/>
              </w:rPr>
              <w:t>22977</w:t>
            </w:r>
          </w:p>
        </w:tc>
      </w:tr>
    </w:tbl>
    <w:p>
      <w:pPr>
        <w:jc w:val="right"/>
        <w:rPr>
          <w:rFonts w:ascii="楷体" w:hAnsi="楷体" w:eastAsia="楷体"/>
          <w:sz w:val="24"/>
          <w:szCs w:val="24"/>
        </w:rPr>
      </w:pPr>
      <w:r>
        <w:rPr>
          <w:rFonts w:hint="eastAsia" w:ascii="楷体" w:hAnsi="楷体" w:eastAsia="楷体"/>
          <w:sz w:val="24"/>
          <w:szCs w:val="24"/>
        </w:rPr>
        <w:t xml:space="preserve"> </w:t>
      </w:r>
      <w:r>
        <w:rPr>
          <w:rFonts w:ascii="楷体" w:hAnsi="楷体" w:eastAsia="楷体"/>
          <w:sz w:val="24"/>
          <w:szCs w:val="24"/>
        </w:rPr>
        <w:t xml:space="preserve">  </w:t>
      </w:r>
      <w:r>
        <w:rPr>
          <w:rFonts w:hint="eastAsia" w:ascii="楷体" w:hAnsi="楷体" w:eastAsia="楷体"/>
          <w:sz w:val="24"/>
          <w:szCs w:val="24"/>
        </w:rPr>
        <w:t>数据来源：湖南艺术职业学院培训部</w:t>
      </w:r>
    </w:p>
    <w:p>
      <w:pPr>
        <w:pStyle w:val="3"/>
      </w:pPr>
      <w:bookmarkStart w:id="74" w:name="_Toc15242"/>
      <w:r>
        <w:t>5.3</w:t>
      </w:r>
      <w:r>
        <w:rPr>
          <w:rFonts w:hint="eastAsia"/>
        </w:rPr>
        <w:t>服务国家战略</w:t>
      </w:r>
      <w:bookmarkEnd w:id="74"/>
    </w:p>
    <w:p>
      <w:pPr>
        <w:pStyle w:val="4"/>
        <w:ind w:firstLine="320" w:firstLineChars="100"/>
        <w:rPr>
          <w:b w:val="0"/>
          <w:bCs w:val="0"/>
        </w:rPr>
      </w:pPr>
      <w:bookmarkStart w:id="75" w:name="_Toc11601"/>
      <w:r>
        <w:rPr>
          <w:b w:val="0"/>
          <w:bCs w:val="0"/>
        </w:rPr>
        <w:t>5.3.1</w:t>
      </w:r>
      <w:r>
        <w:rPr>
          <w:rFonts w:hint="eastAsia"/>
          <w:b w:val="0"/>
          <w:bCs w:val="0"/>
        </w:rPr>
        <w:t>服务乡村振兴</w:t>
      </w:r>
      <w:bookmarkEnd w:id="75"/>
    </w:p>
    <w:p>
      <w:pPr>
        <w:autoSpaceDE w:val="0"/>
        <w:autoSpaceDN w:val="0"/>
        <w:spacing w:before="190"/>
        <w:ind w:left="936" w:firstLine="640" w:firstLineChars="200"/>
        <w:jc w:val="left"/>
        <w:rPr>
          <w:rFonts w:ascii="仿宋" w:hAnsi="仿宋"/>
          <w:szCs w:val="32"/>
        </w:rPr>
      </w:pPr>
      <w:r>
        <w:rPr>
          <w:rFonts w:hint="eastAsia" w:ascii="仿宋" w:hAnsi="仿宋"/>
          <w:szCs w:val="32"/>
        </w:rPr>
        <w:t>学院严格贯彻落实中央乡村振兴发展战略，按照省委的要求，选派三名同志到洞口县温塘村开展乡村振兴，充分运用学院在文化和旅游方面的优势，对定点单位开展文化和旅游振兴活动。</w:t>
      </w:r>
    </w:p>
    <w:p>
      <w:pPr>
        <w:autoSpaceDE w:val="0"/>
        <w:autoSpaceDN w:val="0"/>
        <w:spacing w:before="190"/>
        <w:ind w:firstLine="843" w:firstLineChars="300"/>
        <w:jc w:val="left"/>
        <w:rPr>
          <w:rFonts w:ascii="楷体" w:hAnsi="楷体" w:eastAsia="楷体"/>
          <w:b/>
          <w:bCs/>
          <w:color w:val="000000" w:themeColor="text1"/>
          <w:sz w:val="28"/>
          <w:szCs w:val="28"/>
          <w14:textFill>
            <w14:solidFill>
              <w14:schemeClr w14:val="tx1"/>
            </w14:solidFill>
          </w14:textFill>
        </w:rPr>
      </w:pPr>
      <w:r>
        <w:rPr>
          <w:rFonts w:hint="eastAsia" w:ascii="楷体" w:hAnsi="楷体" w:eastAsia="楷体"/>
          <w:b/>
          <w:bCs/>
          <w:color w:val="000000" w:themeColor="text1"/>
          <w:sz w:val="28"/>
          <w:szCs w:val="28"/>
          <w14:textFill>
            <w14:solidFill>
              <w14:schemeClr w14:val="tx1"/>
            </w14:solidFill>
          </w14:textFill>
        </w:rPr>
        <w:t>【典型</w:t>
      </w:r>
      <w:r>
        <w:rPr>
          <w:rFonts w:ascii="楷体" w:hAnsi="楷体" w:eastAsia="楷体"/>
          <w:b/>
          <w:bCs/>
          <w:color w:val="000000" w:themeColor="text1"/>
          <w:sz w:val="28"/>
          <w:szCs w:val="28"/>
          <w14:textFill>
            <w14:solidFill>
              <w14:schemeClr w14:val="tx1"/>
            </w14:solidFill>
          </w14:textFill>
        </w:rPr>
        <w:t>案例5-2</w:t>
      </w:r>
      <w:r>
        <w:rPr>
          <w:rFonts w:hint="eastAsia" w:ascii="楷体" w:hAnsi="楷体" w:eastAsia="楷体"/>
          <w:b/>
          <w:bCs/>
          <w:color w:val="000000" w:themeColor="text1"/>
          <w:sz w:val="28"/>
          <w:szCs w:val="28"/>
          <w14:textFill>
            <w14:solidFill>
              <w14:schemeClr w14:val="tx1"/>
            </w14:solidFill>
          </w14:textFill>
        </w:rPr>
        <w:t>】湖艺驻村工作队为民办实事解难题</w:t>
      </w:r>
    </w:p>
    <w:p>
      <w:pPr>
        <w:autoSpaceDE w:val="0"/>
        <w:autoSpaceDN w:val="0"/>
        <w:spacing w:before="190"/>
        <w:ind w:left="936" w:firstLine="560" w:firstLineChars="200"/>
        <w:jc w:val="left"/>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学院驻温塘村工作队三名青年教师驻村以来，按照上级统一部署，着力助推“脱贫攻坚”与“乡村振兴”的有效衔接，充分发挥自身作为高校教师的独特优势，积极主动为民办实事解难题，取得了实实在在的成效。</w:t>
      </w:r>
      <w:r>
        <w:rPr>
          <w:rFonts w:ascii="楷体" w:hAnsi="楷体" w:eastAsia="楷体"/>
          <w:color w:val="000000" w:themeColor="text1"/>
          <w:sz w:val="28"/>
          <w:szCs w:val="28"/>
          <w14:textFill>
            <w14:solidFill>
              <w14:schemeClr w14:val="tx1"/>
            </w14:solidFill>
          </w14:textFill>
        </w:rPr>
        <w:cr/>
      </w:r>
      <w:r>
        <w:rPr>
          <w:rFonts w:ascii="楷体" w:hAnsi="楷体" w:eastAsia="楷体"/>
          <w:color w:val="000000" w:themeColor="text1"/>
          <w:sz w:val="28"/>
          <w:szCs w:val="28"/>
          <w14:textFill>
            <w14:solidFill>
              <w14:schemeClr w14:val="tx1"/>
            </w14:solidFill>
          </w14:textFill>
        </w:rPr>
        <w:t xml:space="preserve">    夯实产业发展基础，部署有“速度”。坚持把产业发展作为推进</w:t>
      </w:r>
      <w:r>
        <w:rPr>
          <w:rFonts w:hint="eastAsia" w:ascii="楷体" w:hAnsi="楷体" w:eastAsia="楷体"/>
          <w:color w:val="000000" w:themeColor="text1"/>
          <w:sz w:val="28"/>
          <w:szCs w:val="28"/>
          <w14:textFill>
            <w14:solidFill>
              <w14:schemeClr w14:val="tx1"/>
            </w14:solidFill>
          </w14:textFill>
        </w:rPr>
        <w:t>乡村振兴的主要途径，自</w:t>
      </w:r>
      <w:r>
        <w:rPr>
          <w:rFonts w:ascii="楷体" w:hAnsi="楷体" w:eastAsia="楷体"/>
          <w:color w:val="000000" w:themeColor="text1"/>
          <w:sz w:val="28"/>
          <w:szCs w:val="28"/>
          <w14:textFill>
            <w14:solidFill>
              <w14:schemeClr w14:val="tx1"/>
            </w14:solidFill>
          </w14:textFill>
        </w:rPr>
        <w:t>5月初驻村以来，工作队紧锣密鼓调研、结合实际谋划，根据温塘村产业情况，提出进一步健全完善乡村振兴工作运行机制，以壮大产业、培养人才、发展文化、提升生态、强化组织为主线，以四年为一个整体，以两年为一个阶段，罗列清单，找准目标，共同发力。为加快带动农民增收，他们通过扎实的实地考察，计划引进大棚蔬菜，壮大柑橘产业，进一步夯实种植产业，提高收益分成，真正发展壮大集体经济。</w:t>
      </w:r>
    </w:p>
    <w:p>
      <w:pPr>
        <w:autoSpaceDE w:val="0"/>
        <w:autoSpaceDN w:val="0"/>
        <w:spacing w:before="190"/>
        <w:ind w:left="936" w:firstLine="560" w:firstLineChars="200"/>
        <w:jc w:val="left"/>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创办温塘教育基金，送暖有“温度”。坚持把办好人民满意的教育作为推进乡村振兴的动力源泉，</w:t>
      </w:r>
      <w:r>
        <w:rPr>
          <w:rFonts w:ascii="楷体" w:hAnsi="楷体" w:eastAsia="楷体"/>
          <w:color w:val="000000" w:themeColor="text1"/>
          <w:sz w:val="28"/>
          <w:szCs w:val="28"/>
          <w14:textFill>
            <w14:solidFill>
              <w14:schemeClr w14:val="tx1"/>
            </w14:solidFill>
          </w14:textFill>
        </w:rPr>
        <w:t>工作队与村支“两委”在学院党委行政的关心支持下，全院师生慷慨解囊，专门成立了温塘村教育基金，院团委还专门组织开展“一个支部一个孩子”“教师结对教师”等精准对接的帮扶活动，力争为每一个孩子的成长成才保驾护航，为村里老师们的教育教学提供坚实保障。</w:t>
      </w:r>
    </w:p>
    <w:p>
      <w:pPr>
        <w:autoSpaceDE w:val="0"/>
        <w:autoSpaceDN w:val="0"/>
        <w:spacing w:before="190"/>
        <w:ind w:left="936" w:firstLine="560" w:firstLineChars="200"/>
        <w:jc w:val="left"/>
        <w:rPr>
          <w:rFonts w:ascii="仿宋" w:hAnsi="仿宋"/>
          <w:color w:val="FF0000"/>
          <w:szCs w:val="32"/>
        </w:rPr>
      </w:pPr>
      <w:r>
        <w:rPr>
          <w:rFonts w:hint="eastAsia" w:ascii="楷体" w:hAnsi="楷体" w:eastAsia="楷体"/>
          <w:color w:val="000000" w:themeColor="text1"/>
          <w:sz w:val="28"/>
          <w:szCs w:val="28"/>
          <w14:textFill>
            <w14:solidFill>
              <w14:schemeClr w14:val="tx1"/>
            </w14:solidFill>
          </w14:textFill>
        </w:rPr>
        <w:t>发挥党建引领作用，发展有“广度”。把推进组织振兴作为乡村振兴的重要突破，协助村支“两委”加强党员群众的学习教育管理。</w:t>
      </w:r>
      <w:r>
        <w:rPr>
          <w:rFonts w:ascii="楷体" w:hAnsi="楷体" w:eastAsia="楷体"/>
          <w:color w:val="000000" w:themeColor="text1"/>
          <w:sz w:val="28"/>
          <w:szCs w:val="28"/>
          <w14:textFill>
            <w14:solidFill>
              <w14:schemeClr w14:val="tx1"/>
            </w14:solidFill>
          </w14:textFill>
        </w:rPr>
        <w:t>工作队驻村以来，协助村支“两委”解决各类矛盾6起，并带领党员群众、致富能手、养殖大户学习考察，拓展致富眼界，着力增强党组织号召力、凝聚力、战斗力。</w:t>
      </w:r>
    </w:p>
    <w:p>
      <w:pPr>
        <w:pStyle w:val="3"/>
      </w:pPr>
      <w:bookmarkStart w:id="76" w:name="_Toc29414"/>
      <w:r>
        <w:t>5.4</w:t>
      </w:r>
      <w:r>
        <w:rPr>
          <w:rFonts w:hint="eastAsia"/>
        </w:rPr>
        <w:t>服务区域发展</w:t>
      </w:r>
      <w:bookmarkEnd w:id="76"/>
    </w:p>
    <w:p>
      <w:pPr>
        <w:pStyle w:val="4"/>
        <w:ind w:firstLine="320" w:firstLineChars="100"/>
        <w:rPr>
          <w:b w:val="0"/>
          <w:bCs w:val="0"/>
        </w:rPr>
      </w:pPr>
      <w:bookmarkStart w:id="77" w:name="_Toc19735"/>
      <w:r>
        <w:rPr>
          <w:b w:val="0"/>
          <w:bCs w:val="0"/>
        </w:rPr>
        <w:t>5.4.1</w:t>
      </w:r>
      <w:r>
        <w:rPr>
          <w:rFonts w:hint="eastAsia"/>
          <w:b w:val="0"/>
          <w:bCs w:val="0"/>
        </w:rPr>
        <w:t>服务湖南</w:t>
      </w:r>
      <w:r>
        <w:rPr>
          <w:b w:val="0"/>
          <w:bCs w:val="0"/>
        </w:rPr>
        <w:t>“</w:t>
      </w:r>
      <w:r>
        <w:rPr>
          <w:rFonts w:hint="eastAsia"/>
          <w:b w:val="0"/>
          <w:bCs w:val="0"/>
        </w:rPr>
        <w:t>三高四新</w:t>
      </w:r>
      <w:r>
        <w:rPr>
          <w:b w:val="0"/>
          <w:bCs w:val="0"/>
        </w:rPr>
        <w:t>”</w:t>
      </w:r>
      <w:r>
        <w:rPr>
          <w:rFonts w:hint="eastAsia"/>
          <w:b w:val="0"/>
          <w:bCs w:val="0"/>
        </w:rPr>
        <w:t>战略</w:t>
      </w:r>
      <w:bookmarkEnd w:id="77"/>
    </w:p>
    <w:p>
      <w:pPr>
        <w:autoSpaceDE w:val="0"/>
        <w:autoSpaceDN w:val="0"/>
        <w:spacing w:before="190"/>
        <w:ind w:left="936" w:firstLine="640" w:firstLineChars="200"/>
        <w:jc w:val="left"/>
        <w:rPr>
          <w:rFonts w:ascii="楷体" w:hAnsi="楷体" w:eastAsia="楷体"/>
          <w:b/>
          <w:bCs/>
          <w:sz w:val="28"/>
          <w:szCs w:val="28"/>
        </w:rPr>
      </w:pPr>
      <w:r>
        <w:rPr>
          <w:rFonts w:hint="eastAsia" w:ascii="仿宋" w:hAnsi="仿宋"/>
          <w:szCs w:val="32"/>
        </w:rPr>
        <w:t>学院始终坚持“围绕舞台，造就人才；立足文旅，服务社会”的办学理念，主动对接地方社会发展和经济建设需求，围绕湖南省“三高四新”战略的重点领域、急需领域，立足实际，找准定位，发挥专业优势，以表演艺术专业群、艺术设计专业群、广播影视专业群、文化旅游专业群为核心的文化艺术专业集群，联合政企事业单位，开展综合实习实训项目，实现学院人才培养和服务经济社会发展的同频共振，为加快推进文化强省建设，“三高四新”战略实施汇聚强大力量。</w:t>
      </w:r>
      <w:r>
        <w:rPr>
          <w:rFonts w:ascii="仿宋" w:hAnsi="仿宋"/>
          <w:szCs w:val="32"/>
        </w:rPr>
        <w:cr/>
      </w:r>
      <w:r>
        <w:rPr>
          <w:rFonts w:hint="eastAsia" w:ascii="楷体" w:hAnsi="楷体" w:eastAsia="楷体"/>
          <w:b/>
          <w:bCs/>
          <w:sz w:val="28"/>
          <w:szCs w:val="28"/>
        </w:rPr>
        <w:t>表5-2</w:t>
      </w:r>
      <w:r>
        <w:rPr>
          <w:rFonts w:ascii="楷体" w:hAnsi="楷体" w:eastAsia="楷体"/>
          <w:b/>
          <w:bCs/>
          <w:sz w:val="28"/>
          <w:szCs w:val="28"/>
        </w:rPr>
        <w:t xml:space="preserve"> </w:t>
      </w:r>
      <w:r>
        <w:rPr>
          <w:rFonts w:hint="eastAsia" w:ascii="楷体" w:hAnsi="楷体" w:eastAsia="楷体"/>
          <w:b/>
          <w:bCs/>
          <w:sz w:val="28"/>
          <w:szCs w:val="28"/>
        </w:rPr>
        <w:t>学院2021年度校内外演出情况统计表（精选）</w:t>
      </w:r>
    </w:p>
    <w:tbl>
      <w:tblPr>
        <w:tblStyle w:val="25"/>
        <w:tblW w:w="9208"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
      <w:tblGrid>
        <w:gridCol w:w="789"/>
        <w:gridCol w:w="5055"/>
        <w:gridCol w:w="1184"/>
        <w:gridCol w:w="2180"/>
      </w:tblGrid>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529" w:hRule="atLeast"/>
        </w:trPr>
        <w:tc>
          <w:tcPr>
            <w:tcW w:w="789" w:type="dxa"/>
            <w:tcBorders>
              <w:top w:val="single" w:color="5B9BD5" w:sz="4" w:space="0"/>
              <w:left w:val="single" w:color="5B9BD5" w:sz="4" w:space="0"/>
              <w:bottom w:val="single" w:color="5B9BD5" w:sz="4" w:space="0"/>
              <w:right w:val="nil"/>
              <w:insideH w:val="single" w:sz="4" w:space="0"/>
              <w:insideV w:val="nil"/>
            </w:tcBorders>
            <w:shd w:val="clear" w:color="auto" w:fill="5B9BD5"/>
            <w:vAlign w:val="center"/>
          </w:tcPr>
          <w:p>
            <w:pPr>
              <w:spacing w:line="240" w:lineRule="auto"/>
              <w:jc w:val="center"/>
              <w:rPr>
                <w:rFonts w:ascii="宋体" w:hAnsi="宋体" w:eastAsia="宋体"/>
                <w:b w:val="0"/>
                <w:bCs w:val="0"/>
                <w:color w:val="FFFFFF"/>
                <w:kern w:val="0"/>
                <w:sz w:val="21"/>
              </w:rPr>
            </w:pPr>
            <w:r>
              <w:rPr>
                <w:rFonts w:hint="eastAsia" w:ascii="宋体" w:hAnsi="宋体" w:eastAsia="宋体"/>
                <w:b w:val="0"/>
                <w:bCs w:val="0"/>
                <w:color w:val="FFFFFF"/>
                <w:kern w:val="0"/>
                <w:sz w:val="21"/>
              </w:rPr>
              <w:t>序号</w:t>
            </w:r>
          </w:p>
        </w:tc>
        <w:tc>
          <w:tcPr>
            <w:tcW w:w="5055" w:type="dxa"/>
            <w:tcBorders>
              <w:top w:val="single" w:color="5B9BD5" w:sz="4" w:space="0"/>
              <w:bottom w:val="single" w:color="5B9BD5" w:sz="4" w:space="0"/>
              <w:right w:val="nil"/>
              <w:insideH w:val="single" w:sz="4" w:space="0"/>
              <w:insideV w:val="nil"/>
            </w:tcBorders>
            <w:shd w:val="clear" w:color="auto" w:fill="5B9BD5"/>
            <w:vAlign w:val="center"/>
          </w:tcPr>
          <w:p>
            <w:pPr>
              <w:spacing w:line="240" w:lineRule="auto"/>
              <w:jc w:val="center"/>
              <w:rPr>
                <w:rFonts w:ascii="宋体" w:hAnsi="宋体" w:eastAsia="宋体"/>
                <w:b w:val="0"/>
                <w:bCs w:val="0"/>
                <w:color w:val="FFFFFF"/>
                <w:kern w:val="0"/>
                <w:sz w:val="21"/>
              </w:rPr>
            </w:pPr>
            <w:r>
              <w:rPr>
                <w:rFonts w:hint="eastAsia" w:ascii="宋体" w:hAnsi="宋体" w:eastAsia="宋体"/>
                <w:b w:val="0"/>
                <w:bCs w:val="0"/>
                <w:color w:val="FFFFFF"/>
                <w:kern w:val="0"/>
                <w:sz w:val="21"/>
              </w:rPr>
              <w:t>演出项目</w:t>
            </w:r>
          </w:p>
        </w:tc>
        <w:tc>
          <w:tcPr>
            <w:tcW w:w="1184" w:type="dxa"/>
            <w:tcBorders>
              <w:top w:val="single" w:color="5B9BD5" w:sz="4" w:space="0"/>
              <w:bottom w:val="single" w:color="5B9BD5" w:sz="4" w:space="0"/>
              <w:right w:val="nil"/>
              <w:insideH w:val="single" w:sz="4" w:space="0"/>
              <w:insideV w:val="nil"/>
            </w:tcBorders>
            <w:shd w:val="clear" w:color="auto" w:fill="5B9BD5"/>
            <w:vAlign w:val="center"/>
          </w:tcPr>
          <w:p>
            <w:pPr>
              <w:spacing w:line="240" w:lineRule="auto"/>
              <w:jc w:val="center"/>
              <w:rPr>
                <w:rFonts w:ascii="宋体" w:hAnsi="宋体" w:eastAsia="宋体"/>
                <w:b w:val="0"/>
                <w:bCs w:val="0"/>
                <w:color w:val="FFFFFF"/>
                <w:kern w:val="0"/>
                <w:sz w:val="21"/>
              </w:rPr>
            </w:pPr>
            <w:r>
              <w:rPr>
                <w:rFonts w:hint="eastAsia" w:ascii="宋体" w:hAnsi="宋体" w:eastAsia="宋体"/>
                <w:b w:val="0"/>
                <w:bCs w:val="0"/>
                <w:color w:val="FFFFFF"/>
                <w:kern w:val="0"/>
                <w:sz w:val="21"/>
              </w:rPr>
              <w:t>演出时间</w:t>
            </w:r>
          </w:p>
        </w:tc>
        <w:tc>
          <w:tcPr>
            <w:tcW w:w="2180" w:type="dxa"/>
            <w:tcBorders>
              <w:top w:val="single" w:color="5B9BD5" w:sz="4" w:space="0"/>
              <w:bottom w:val="single" w:color="5B9BD5" w:sz="4" w:space="0"/>
              <w:right w:val="single" w:color="5B9BD5" w:sz="4" w:space="0"/>
              <w:insideH w:val="single" w:sz="4" w:space="0"/>
              <w:insideV w:val="nil"/>
            </w:tcBorders>
            <w:shd w:val="clear" w:color="auto" w:fill="5B9BD5"/>
            <w:vAlign w:val="center"/>
          </w:tcPr>
          <w:p>
            <w:pPr>
              <w:spacing w:line="240" w:lineRule="auto"/>
              <w:jc w:val="center"/>
              <w:rPr>
                <w:rFonts w:ascii="宋体" w:hAnsi="宋体" w:eastAsia="宋体"/>
                <w:b w:val="0"/>
                <w:bCs w:val="0"/>
                <w:color w:val="FFFFFF"/>
                <w:kern w:val="0"/>
                <w:sz w:val="21"/>
              </w:rPr>
            </w:pPr>
            <w:r>
              <w:rPr>
                <w:rFonts w:hint="eastAsia" w:ascii="宋体" w:hAnsi="宋体" w:eastAsia="宋体"/>
                <w:b w:val="0"/>
                <w:bCs w:val="0"/>
                <w:color w:val="FFFFFF"/>
                <w:kern w:val="0"/>
                <w:sz w:val="21"/>
              </w:rPr>
              <w:t>演出地点</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740" w:hRule="atLeast"/>
        </w:trPr>
        <w:tc>
          <w:tcPr>
            <w:tcW w:w="789" w:type="dxa"/>
            <w:shd w:val="clear" w:color="auto" w:fill="DEEAF6"/>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1</w:t>
            </w:r>
          </w:p>
        </w:tc>
        <w:tc>
          <w:tcPr>
            <w:tcW w:w="5055"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2021湖南戏曲春晚</w:t>
            </w:r>
          </w:p>
        </w:tc>
        <w:tc>
          <w:tcPr>
            <w:tcW w:w="1184"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1月18日</w:t>
            </w:r>
          </w:p>
        </w:tc>
        <w:tc>
          <w:tcPr>
            <w:tcW w:w="2180"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湖南省花鼓戏保护传承中心</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529" w:hRule="atLeast"/>
        </w:trPr>
        <w:tc>
          <w:tcPr>
            <w:tcW w:w="789" w:type="dxa"/>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2</w:t>
            </w:r>
          </w:p>
        </w:tc>
        <w:tc>
          <w:tcPr>
            <w:tcW w:w="5055"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中央广播电视总台《2021年全国脱贫攻坚奖特别节目》（受邀参演《大地颂歌》节目第六章“大地赤子”）</w:t>
            </w:r>
          </w:p>
        </w:tc>
        <w:tc>
          <w:tcPr>
            <w:tcW w:w="1184"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2月24-28日</w:t>
            </w:r>
          </w:p>
        </w:tc>
        <w:tc>
          <w:tcPr>
            <w:tcW w:w="2180"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北京</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529" w:hRule="atLeast"/>
        </w:trPr>
        <w:tc>
          <w:tcPr>
            <w:tcW w:w="789" w:type="dxa"/>
            <w:shd w:val="clear" w:color="auto" w:fill="DEEAF6"/>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3</w:t>
            </w:r>
          </w:p>
        </w:tc>
        <w:tc>
          <w:tcPr>
            <w:tcW w:w="5055"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“百年风华·湖湘国潮”庆祝中国共产党成立100周年暨首届芙蓉镇国潮文旅活动</w:t>
            </w:r>
          </w:p>
        </w:tc>
        <w:tc>
          <w:tcPr>
            <w:tcW w:w="1184"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3月30日</w:t>
            </w:r>
          </w:p>
        </w:tc>
        <w:tc>
          <w:tcPr>
            <w:tcW w:w="2180"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湘西芙蓉镇</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529" w:hRule="atLeast"/>
        </w:trPr>
        <w:tc>
          <w:tcPr>
            <w:tcW w:w="789" w:type="dxa"/>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4</w:t>
            </w:r>
          </w:p>
        </w:tc>
        <w:tc>
          <w:tcPr>
            <w:tcW w:w="5055"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原创革命题材花鼓戏《徐特立》</w:t>
            </w:r>
          </w:p>
        </w:tc>
        <w:tc>
          <w:tcPr>
            <w:tcW w:w="1184"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4月6日、</w:t>
            </w:r>
          </w:p>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5月26日</w:t>
            </w:r>
          </w:p>
        </w:tc>
        <w:tc>
          <w:tcPr>
            <w:tcW w:w="2180"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湖南省花鼓戏保护传承中心</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529" w:hRule="atLeast"/>
        </w:trPr>
        <w:tc>
          <w:tcPr>
            <w:tcW w:w="789" w:type="dxa"/>
            <w:shd w:val="clear" w:color="auto" w:fill="DEEAF6"/>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5</w:t>
            </w:r>
          </w:p>
        </w:tc>
        <w:tc>
          <w:tcPr>
            <w:tcW w:w="5055"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儿童舞剧《梅花仙子》启动仪式</w:t>
            </w:r>
          </w:p>
        </w:tc>
        <w:tc>
          <w:tcPr>
            <w:tcW w:w="1184"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4月30日</w:t>
            </w:r>
          </w:p>
        </w:tc>
        <w:tc>
          <w:tcPr>
            <w:tcW w:w="2180"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臻艺楼黑匣子</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529" w:hRule="atLeast"/>
        </w:trPr>
        <w:tc>
          <w:tcPr>
            <w:tcW w:w="789" w:type="dxa"/>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6</w:t>
            </w:r>
          </w:p>
        </w:tc>
        <w:tc>
          <w:tcPr>
            <w:tcW w:w="5055"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音乐剧《致青春》</w:t>
            </w:r>
          </w:p>
        </w:tc>
        <w:tc>
          <w:tcPr>
            <w:tcW w:w="1184"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5月1日</w:t>
            </w:r>
          </w:p>
        </w:tc>
        <w:tc>
          <w:tcPr>
            <w:tcW w:w="2180"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柳州工业博物馆</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529" w:hRule="atLeast"/>
        </w:trPr>
        <w:tc>
          <w:tcPr>
            <w:tcW w:w="789" w:type="dxa"/>
            <w:shd w:val="clear" w:color="auto" w:fill="DEEAF6"/>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7</w:t>
            </w:r>
          </w:p>
        </w:tc>
        <w:tc>
          <w:tcPr>
            <w:tcW w:w="5055" w:type="dxa"/>
            <w:shd w:val="clear" w:color="auto" w:fill="DEEAF6"/>
            <w:vAlign w:val="center"/>
          </w:tcPr>
          <w:p>
            <w:pPr>
              <w:autoSpaceDE w:val="0"/>
              <w:spacing w:line="240" w:lineRule="auto"/>
              <w:jc w:val="center"/>
              <w:rPr>
                <w:rFonts w:ascii="宋体" w:hAnsi="宋体" w:eastAsia="宋体"/>
                <w:w w:val="90"/>
                <w:kern w:val="0"/>
                <w:sz w:val="18"/>
                <w:szCs w:val="18"/>
              </w:rPr>
            </w:pPr>
            <w:r>
              <w:rPr>
                <w:rFonts w:hint="eastAsia" w:ascii="宋体" w:hAnsi="宋体" w:eastAsia="宋体"/>
                <w:w w:val="90"/>
                <w:kern w:val="0"/>
                <w:sz w:val="18"/>
                <w:szCs w:val="18"/>
              </w:rPr>
              <w:t>“唱支山歌给党听”湖南省庆祝中国共产党成立100周年大型交响合唱晚会</w:t>
            </w:r>
          </w:p>
        </w:tc>
        <w:tc>
          <w:tcPr>
            <w:tcW w:w="1184"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6月30日</w:t>
            </w:r>
          </w:p>
        </w:tc>
        <w:tc>
          <w:tcPr>
            <w:tcW w:w="2180"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湖南大剧院</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529" w:hRule="atLeast"/>
        </w:trPr>
        <w:tc>
          <w:tcPr>
            <w:tcW w:w="789" w:type="dxa"/>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8</w:t>
            </w:r>
          </w:p>
        </w:tc>
        <w:tc>
          <w:tcPr>
            <w:tcW w:w="5055"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独幕剧《半条被子》正式公演</w:t>
            </w:r>
          </w:p>
        </w:tc>
        <w:tc>
          <w:tcPr>
            <w:tcW w:w="1184"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6月23日</w:t>
            </w:r>
          </w:p>
        </w:tc>
        <w:tc>
          <w:tcPr>
            <w:tcW w:w="2180"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实验剧场</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1195" w:hRule="atLeast"/>
        </w:trPr>
        <w:tc>
          <w:tcPr>
            <w:tcW w:w="789" w:type="dxa"/>
            <w:shd w:val="clear" w:color="auto" w:fill="DEEAF6"/>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9</w:t>
            </w:r>
          </w:p>
        </w:tc>
        <w:tc>
          <w:tcPr>
            <w:tcW w:w="5055"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《二十八岁的你》节目录制</w:t>
            </w:r>
          </w:p>
        </w:tc>
        <w:tc>
          <w:tcPr>
            <w:tcW w:w="1184"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4月26日-6月20日</w:t>
            </w:r>
          </w:p>
        </w:tc>
        <w:tc>
          <w:tcPr>
            <w:tcW w:w="2180" w:type="dxa"/>
            <w:shd w:val="clear" w:color="auto" w:fill="DEEAF6"/>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湖南广播电视台</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545" w:hRule="atLeast"/>
        </w:trPr>
        <w:tc>
          <w:tcPr>
            <w:tcW w:w="789" w:type="dxa"/>
            <w:vAlign w:val="center"/>
          </w:tcPr>
          <w:p>
            <w:pPr>
              <w:spacing w:line="240" w:lineRule="auto"/>
              <w:jc w:val="center"/>
              <w:rPr>
                <w:rFonts w:ascii="宋体" w:hAnsi="宋体" w:eastAsia="宋体"/>
                <w:b w:val="0"/>
                <w:bCs w:val="0"/>
                <w:kern w:val="0"/>
                <w:sz w:val="18"/>
                <w:szCs w:val="18"/>
              </w:rPr>
            </w:pPr>
            <w:r>
              <w:rPr>
                <w:rFonts w:hint="eastAsia" w:ascii="宋体" w:hAnsi="宋体" w:eastAsia="宋体"/>
                <w:b/>
                <w:bCs/>
                <w:kern w:val="0"/>
                <w:sz w:val="18"/>
                <w:szCs w:val="18"/>
              </w:rPr>
              <w:t>10</w:t>
            </w:r>
          </w:p>
        </w:tc>
        <w:tc>
          <w:tcPr>
            <w:tcW w:w="5055"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海利集团七十周年庆典</w:t>
            </w:r>
          </w:p>
        </w:tc>
        <w:tc>
          <w:tcPr>
            <w:tcW w:w="1184"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10月15日</w:t>
            </w:r>
          </w:p>
        </w:tc>
        <w:tc>
          <w:tcPr>
            <w:tcW w:w="2180" w:type="dxa"/>
            <w:vAlign w:val="center"/>
          </w:tcPr>
          <w:p>
            <w:pPr>
              <w:autoSpaceDE w:val="0"/>
              <w:spacing w:line="240" w:lineRule="auto"/>
              <w:jc w:val="center"/>
              <w:rPr>
                <w:rFonts w:ascii="宋体" w:hAnsi="宋体" w:eastAsia="宋体"/>
                <w:kern w:val="0"/>
                <w:sz w:val="18"/>
                <w:szCs w:val="18"/>
              </w:rPr>
            </w:pPr>
            <w:r>
              <w:rPr>
                <w:rFonts w:hint="eastAsia" w:ascii="宋体" w:hAnsi="宋体" w:eastAsia="宋体"/>
                <w:kern w:val="0"/>
                <w:sz w:val="18"/>
                <w:szCs w:val="18"/>
              </w:rPr>
              <w:t>长沙市青少年宫</w:t>
            </w:r>
          </w:p>
        </w:tc>
      </w:tr>
    </w:tbl>
    <w:p>
      <w:pPr>
        <w:jc w:val="right"/>
        <w:rPr>
          <w:rFonts w:ascii="楷体" w:hAnsi="楷体" w:eastAsia="楷体"/>
          <w:sz w:val="24"/>
          <w:szCs w:val="24"/>
        </w:rPr>
      </w:pPr>
      <w:r>
        <w:rPr>
          <w:rFonts w:hint="eastAsia" w:ascii="楷体" w:hAnsi="楷体" w:eastAsia="楷体"/>
          <w:sz w:val="24"/>
          <w:szCs w:val="24"/>
        </w:rPr>
        <w:t xml:space="preserve"> </w:t>
      </w:r>
      <w:r>
        <w:rPr>
          <w:rFonts w:ascii="楷体" w:hAnsi="楷体" w:eastAsia="楷体"/>
          <w:sz w:val="24"/>
          <w:szCs w:val="24"/>
        </w:rPr>
        <w:t xml:space="preserve">  </w:t>
      </w:r>
      <w:r>
        <w:rPr>
          <w:rFonts w:hint="eastAsia" w:ascii="楷体" w:hAnsi="楷体" w:eastAsia="楷体"/>
          <w:sz w:val="24"/>
          <w:szCs w:val="24"/>
        </w:rPr>
        <w:t>数据来源：湖南艺术职业学院实训处</w:t>
      </w:r>
    </w:p>
    <w:p>
      <w:pPr>
        <w:pStyle w:val="4"/>
        <w:ind w:firstLine="320" w:firstLineChars="100"/>
        <w:rPr>
          <w:b w:val="0"/>
          <w:bCs w:val="0"/>
        </w:rPr>
      </w:pPr>
      <w:bookmarkStart w:id="78" w:name="_Toc2729"/>
      <w:r>
        <w:rPr>
          <w:b w:val="0"/>
          <w:bCs w:val="0"/>
        </w:rPr>
        <w:t>5.4.2</w:t>
      </w:r>
      <w:r>
        <w:rPr>
          <w:rFonts w:hint="eastAsia"/>
          <w:b w:val="0"/>
          <w:bCs w:val="0"/>
        </w:rPr>
        <w:t>服务新兴优势产业链</w:t>
      </w:r>
      <w:bookmarkEnd w:id="78"/>
    </w:p>
    <w:p>
      <w:pPr>
        <w:autoSpaceDE w:val="0"/>
        <w:autoSpaceDN w:val="0"/>
        <w:spacing w:before="190"/>
        <w:ind w:left="936" w:firstLine="640" w:firstLineChars="200"/>
        <w:jc w:val="left"/>
        <w:rPr>
          <w:rFonts w:ascii="仿宋" w:hAnsi="仿宋"/>
          <w:szCs w:val="32"/>
        </w:rPr>
      </w:pPr>
      <w:r>
        <w:rPr>
          <w:rFonts w:hint="eastAsia" w:ascii="仿宋" w:hAnsi="仿宋"/>
          <w:szCs w:val="32"/>
        </w:rPr>
        <w:t>在“三高四新”战略的时代背景和深刻内涵下，学院坚持精准共建合作机制、精准对接地方产业、精准开掘地方文化、精准助力脱贫攻坚，创新平台和创新人才制高点等方面切实推进校企校地产业课题合作，做大做强优势项目和特色项目，积极实现教育链、人才链与产业链、创新链有机衔接、优势互补，持续提升服务地方工作水平，推动学校高质量发展。</w:t>
      </w:r>
    </w:p>
    <w:p>
      <w:pPr>
        <w:autoSpaceDE w:val="0"/>
        <w:autoSpaceDN w:val="0"/>
        <w:spacing w:before="190"/>
        <w:ind w:left="936" w:firstLine="562" w:firstLineChars="200"/>
        <w:jc w:val="left"/>
        <w:rPr>
          <w:rFonts w:ascii="楷体" w:hAnsi="楷体" w:eastAsia="楷体"/>
          <w:b/>
          <w:bCs/>
          <w:sz w:val="28"/>
          <w:szCs w:val="28"/>
        </w:rPr>
      </w:pPr>
      <w:r>
        <w:rPr>
          <w:rFonts w:hint="eastAsia" w:ascii="楷体" w:hAnsi="楷体" w:eastAsia="楷体"/>
          <w:b/>
          <w:bCs/>
          <w:sz w:val="28"/>
          <w:szCs w:val="28"/>
        </w:rPr>
        <w:t>【典型案例5</w:t>
      </w:r>
      <w:r>
        <w:rPr>
          <w:rFonts w:ascii="楷体" w:hAnsi="楷体" w:eastAsia="楷体"/>
          <w:b/>
          <w:bCs/>
          <w:sz w:val="28"/>
          <w:szCs w:val="28"/>
        </w:rPr>
        <w:t>-3</w:t>
      </w:r>
      <w:r>
        <w:rPr>
          <w:rFonts w:hint="eastAsia" w:ascii="楷体" w:hAnsi="楷体" w:eastAsia="楷体"/>
          <w:b/>
          <w:bCs/>
          <w:sz w:val="28"/>
          <w:szCs w:val="28"/>
        </w:rPr>
        <w:t>】</w:t>
      </w:r>
      <w:r>
        <w:rPr>
          <w:rFonts w:ascii="楷体" w:hAnsi="楷体" w:eastAsia="楷体"/>
          <w:b/>
          <w:bCs/>
          <w:sz w:val="28"/>
          <w:szCs w:val="28"/>
        </w:rPr>
        <w:t>聚焦“三高四新”战略</w:t>
      </w:r>
      <w:r>
        <w:rPr>
          <w:rFonts w:hint="eastAsia" w:ascii="楷体" w:hAnsi="楷体" w:eastAsia="楷体"/>
          <w:b/>
          <w:bCs/>
          <w:sz w:val="28"/>
          <w:szCs w:val="28"/>
        </w:rPr>
        <w:t>，助推地方产业发展</w:t>
      </w:r>
    </w:p>
    <w:p>
      <w:pPr>
        <w:autoSpaceDE w:val="0"/>
        <w:autoSpaceDN w:val="0"/>
        <w:spacing w:before="190"/>
        <w:ind w:left="936" w:firstLine="560" w:firstLineChars="200"/>
        <w:jc w:val="left"/>
        <w:rPr>
          <w:rFonts w:ascii="楷体" w:hAnsi="楷体" w:eastAsia="楷体"/>
          <w:sz w:val="28"/>
          <w:szCs w:val="28"/>
        </w:rPr>
      </w:pPr>
      <w:r>
        <w:rPr>
          <w:rFonts w:hint="eastAsia" w:ascii="楷体" w:hAnsi="楷体" w:eastAsia="楷体"/>
          <w:sz w:val="28"/>
          <w:szCs w:val="28"/>
        </w:rPr>
        <w:t>近年来，电商直播逐渐成为促进经济发展的新业态、新趋势。</w:t>
      </w:r>
      <w:r>
        <w:rPr>
          <w:rFonts w:ascii="楷体" w:hAnsi="楷体" w:eastAsia="楷体"/>
          <w:sz w:val="28"/>
          <w:szCs w:val="28"/>
        </w:rPr>
        <w:t>2021年6月，在湖南省委宣传部、省文化和旅游厅的支持下，湖南艺术职业学院、安化县人民政府和湖南谦益吉供应链管理服务有限责任公司聚焦“三高四新”战略，</w:t>
      </w:r>
      <w:r>
        <w:rPr>
          <w:rFonts w:hint="eastAsia" w:ascii="楷体" w:hAnsi="楷体" w:eastAsia="楷体"/>
          <w:sz w:val="28"/>
          <w:szCs w:val="28"/>
        </w:rPr>
        <w:t>发挥各自优势，结合安化黑茶抖音电商直播“百千计划”，共建课程、合作办学，搭建校地企三方合作平台——“</w:t>
      </w:r>
      <w:r>
        <w:rPr>
          <w:rFonts w:ascii="楷体" w:hAnsi="楷体" w:eastAsia="楷体"/>
          <w:sz w:val="28"/>
          <w:szCs w:val="28"/>
        </w:rPr>
        <w:t>安化黑茶直播视频基地</w:t>
      </w:r>
      <w:r>
        <w:rPr>
          <w:rFonts w:hint="eastAsia" w:ascii="楷体" w:hAnsi="楷体" w:eastAsia="楷体"/>
          <w:sz w:val="28"/>
          <w:szCs w:val="28"/>
        </w:rPr>
        <w:t>”</w:t>
      </w:r>
      <w:r>
        <w:rPr>
          <w:rFonts w:ascii="楷体" w:hAnsi="楷体" w:eastAsia="楷体"/>
          <w:sz w:val="28"/>
          <w:szCs w:val="28"/>
        </w:rPr>
        <w:t>，</w:t>
      </w:r>
      <w:r>
        <w:rPr>
          <w:rFonts w:hint="eastAsia" w:ascii="楷体" w:hAnsi="楷体" w:eastAsia="楷体"/>
          <w:sz w:val="28"/>
          <w:szCs w:val="28"/>
        </w:rPr>
        <w:t>探索长效合作机制，实现资源的有机结合和优化配置，共建共赢共享，共同助力</w:t>
      </w:r>
      <w:r>
        <w:rPr>
          <w:rFonts w:ascii="楷体" w:hAnsi="楷体" w:eastAsia="楷体"/>
          <w:sz w:val="28"/>
          <w:szCs w:val="28"/>
        </w:rPr>
        <w:t>安化</w:t>
      </w:r>
      <w:r>
        <w:rPr>
          <w:rFonts w:hint="eastAsia" w:ascii="楷体" w:hAnsi="楷体" w:eastAsia="楷体"/>
          <w:sz w:val="28"/>
          <w:szCs w:val="28"/>
        </w:rPr>
        <w:t>乡村振兴，更好服务当地经济社会发展</w:t>
      </w:r>
      <w:r>
        <w:rPr>
          <w:rFonts w:ascii="楷体" w:hAnsi="楷体" w:eastAsia="楷体"/>
          <w:sz w:val="28"/>
          <w:szCs w:val="28"/>
        </w:rPr>
        <w:t>。</w:t>
      </w:r>
    </w:p>
    <w:p>
      <w:pPr>
        <w:pStyle w:val="4"/>
        <w:ind w:firstLine="320" w:firstLineChars="100"/>
        <w:rPr>
          <w:b w:val="0"/>
          <w:bCs w:val="0"/>
        </w:rPr>
      </w:pPr>
      <w:bookmarkStart w:id="79" w:name="_Toc18101"/>
      <w:r>
        <w:rPr>
          <w:b w:val="0"/>
          <w:bCs w:val="0"/>
        </w:rPr>
        <w:t>5.4.3</w:t>
      </w:r>
      <w:r>
        <w:rPr>
          <w:rFonts w:hint="eastAsia"/>
          <w:b w:val="0"/>
          <w:bCs w:val="0"/>
        </w:rPr>
        <w:t>服务行业企业</w:t>
      </w:r>
      <w:bookmarkEnd w:id="79"/>
    </w:p>
    <w:p>
      <w:pPr>
        <w:autoSpaceDE w:val="0"/>
        <w:autoSpaceDN w:val="0"/>
        <w:spacing w:before="190"/>
        <w:ind w:left="936" w:firstLine="640" w:firstLineChars="200"/>
        <w:jc w:val="left"/>
        <w:rPr>
          <w:rFonts w:ascii="仿宋" w:hAnsi="仿宋"/>
          <w:szCs w:val="32"/>
        </w:rPr>
      </w:pPr>
      <w:r>
        <w:rPr>
          <w:rFonts w:hint="eastAsia" w:ascii="仿宋" w:hAnsi="仿宋"/>
          <w:szCs w:val="32"/>
        </w:rPr>
        <w:t>学院依托自身文艺人才培养、培训的优势，积极服务国家及地方文化产业和文化事业；始终坚持对接行业企业，发挥专业优势，积极推进产教融合，不断</w:t>
      </w:r>
      <w:r>
        <w:rPr>
          <w:rFonts w:hint="eastAsia" w:ascii="仿宋" w:hAnsi="仿宋"/>
          <w:w w:val="96"/>
          <w:szCs w:val="32"/>
        </w:rPr>
        <w:t>提升服务行业企业能力，有效促进了地方经济社会发展。</w:t>
      </w:r>
    </w:p>
    <w:p>
      <w:pPr>
        <w:autoSpaceDE w:val="0"/>
        <w:autoSpaceDN w:val="0"/>
        <w:spacing w:before="190"/>
        <w:ind w:left="936" w:firstLine="640" w:firstLineChars="200"/>
        <w:jc w:val="left"/>
        <w:rPr>
          <w:rFonts w:ascii="仿宋" w:hAnsi="仿宋"/>
          <w:szCs w:val="32"/>
        </w:rPr>
      </w:pPr>
      <w:r>
        <w:rPr>
          <w:rFonts w:hint="eastAsia" w:ascii="仿宋" w:hAnsi="仿宋"/>
          <w:szCs w:val="32"/>
        </w:rPr>
        <w:t>学院持续</w:t>
      </w:r>
      <w:r>
        <w:rPr>
          <w:rFonts w:ascii="仿宋" w:hAnsi="仿宋"/>
          <w:szCs w:val="32"/>
        </w:rPr>
        <w:t>加强与地方专业院团的合作，培养国家级非物质文化遗产——花鼓戏、湘剧等表演艺术人才</w:t>
      </w:r>
      <w:r>
        <w:rPr>
          <w:rFonts w:hint="eastAsia" w:ascii="仿宋" w:hAnsi="仿宋"/>
          <w:szCs w:val="32"/>
        </w:rPr>
        <w:t>；</w:t>
      </w:r>
      <w:r>
        <w:rPr>
          <w:rFonts w:ascii="仿宋" w:hAnsi="仿宋"/>
          <w:szCs w:val="32"/>
        </w:rPr>
        <w:t>承办湖南戏曲春晚，</w:t>
      </w:r>
      <w:r>
        <w:rPr>
          <w:rFonts w:hint="eastAsia" w:ascii="仿宋" w:hAnsi="仿宋"/>
          <w:szCs w:val="32"/>
        </w:rPr>
        <w:t>进一步</w:t>
      </w:r>
      <w:r>
        <w:rPr>
          <w:rFonts w:ascii="仿宋" w:hAnsi="仿宋"/>
          <w:szCs w:val="32"/>
        </w:rPr>
        <w:t>与全省艺术院团的深层次联系，为湖南戏曲文化的发展贡献自己的力量</w:t>
      </w:r>
      <w:r>
        <w:rPr>
          <w:rFonts w:hint="eastAsia" w:ascii="仿宋" w:hAnsi="仿宋"/>
          <w:szCs w:val="32"/>
        </w:rPr>
        <w:t>。据统计，学院每年为演艺行业企业、基层文化站培养各类艺术文化人才近</w:t>
      </w:r>
      <w:r>
        <w:rPr>
          <w:rFonts w:ascii="仿宋" w:hAnsi="仿宋"/>
          <w:szCs w:val="32"/>
        </w:rPr>
        <w:t>2000名。</w:t>
      </w:r>
      <w:r>
        <w:rPr>
          <w:rFonts w:hint="eastAsia" w:ascii="仿宋" w:hAnsi="仿宋"/>
          <w:szCs w:val="32"/>
        </w:rPr>
        <w:t>今年1</w:t>
      </w:r>
      <w:r>
        <w:rPr>
          <w:rFonts w:ascii="仿宋" w:hAnsi="仿宋"/>
          <w:szCs w:val="32"/>
        </w:rPr>
        <w:t>0</w:t>
      </w:r>
      <w:r>
        <w:rPr>
          <w:rFonts w:hint="eastAsia" w:ascii="仿宋" w:hAnsi="仿宋"/>
          <w:szCs w:val="32"/>
        </w:rPr>
        <w:t>月，学院受邀参加海利集团7</w:t>
      </w:r>
      <w:r>
        <w:rPr>
          <w:rFonts w:ascii="仿宋" w:hAnsi="仿宋"/>
          <w:szCs w:val="32"/>
        </w:rPr>
        <w:t>0</w:t>
      </w:r>
      <w:r>
        <w:rPr>
          <w:rFonts w:hint="eastAsia" w:ascii="仿宋" w:hAnsi="仿宋"/>
          <w:szCs w:val="32"/>
        </w:rPr>
        <w:t>周年庆典，此次庆典文艺演出，从节目整体策划，舞美灯光、服装道具、节目编排等整台晚会均</w:t>
      </w:r>
      <w:r>
        <w:rPr>
          <w:rFonts w:hint="eastAsia" w:ascii="仿宋" w:hAnsi="仿宋"/>
          <w:w w:val="96"/>
          <w:szCs w:val="32"/>
        </w:rPr>
        <w:t>由我院舞蹈系、音乐系、影视系等数百名师生参演完成。</w:t>
      </w:r>
    </w:p>
    <w:p>
      <w:pPr>
        <w:pStyle w:val="4"/>
        <w:ind w:firstLine="320" w:firstLineChars="100"/>
        <w:rPr>
          <w:b w:val="0"/>
          <w:bCs w:val="0"/>
        </w:rPr>
      </w:pPr>
      <w:bookmarkStart w:id="80" w:name="_Toc26810"/>
      <w:r>
        <w:rPr>
          <w:b w:val="0"/>
          <w:bCs w:val="0"/>
        </w:rPr>
        <w:t>5.4.4</w:t>
      </w:r>
      <w:r>
        <w:rPr>
          <w:rFonts w:hint="eastAsia"/>
          <w:b w:val="0"/>
          <w:bCs w:val="0"/>
        </w:rPr>
        <w:t>服务社区</w:t>
      </w:r>
      <w:bookmarkEnd w:id="80"/>
    </w:p>
    <w:p>
      <w:pPr>
        <w:autoSpaceDE w:val="0"/>
        <w:autoSpaceDN w:val="0"/>
        <w:spacing w:before="190"/>
        <w:ind w:left="936" w:firstLine="640" w:firstLineChars="200"/>
        <w:jc w:val="left"/>
        <w:rPr>
          <w:rFonts w:ascii="仿宋" w:hAnsi="仿宋"/>
          <w:szCs w:val="32"/>
        </w:rPr>
      </w:pPr>
      <w:r>
        <w:rPr>
          <w:rFonts w:hint="eastAsia" w:ascii="仿宋" w:hAnsi="仿宋"/>
          <w:szCs w:val="32"/>
        </w:rPr>
        <w:t>在当前疫情影响，传统线下文化活动基本无法开展，社区居民对文化活动的开展有着迫切的需求。学院充分发挥“互联网+”的模式，挖掘自身丰富的艺术教育资源，采用线上为主，线上线下立体联动的形式，丰富和活跃社区居民的精神文化生活，持续助力增进社区居民的获得感和幸福感。</w:t>
      </w:r>
    </w:p>
    <w:p>
      <w:pPr>
        <w:autoSpaceDE w:val="0"/>
        <w:autoSpaceDN w:val="0"/>
        <w:spacing w:before="190"/>
        <w:ind w:left="936"/>
        <w:jc w:val="left"/>
        <w:rPr>
          <w:rFonts w:ascii="楷体" w:hAnsi="楷体" w:eastAsia="楷体"/>
          <w:b/>
          <w:bCs/>
          <w:color w:val="000000" w:themeColor="text1"/>
          <w:sz w:val="28"/>
          <w:szCs w:val="28"/>
          <w14:textFill>
            <w14:solidFill>
              <w14:schemeClr w14:val="tx1"/>
            </w14:solidFill>
          </w14:textFill>
        </w:rPr>
      </w:pPr>
      <w:r>
        <w:rPr>
          <w:rFonts w:hint="eastAsia" w:ascii="楷体" w:hAnsi="楷体" w:eastAsia="楷体"/>
          <w:b/>
          <w:bCs/>
          <w:color w:val="000000" w:themeColor="text1"/>
          <w:w w:val="96"/>
          <w:sz w:val="28"/>
          <w:szCs w:val="28"/>
          <w14:textFill>
            <w14:solidFill>
              <w14:schemeClr w14:val="tx1"/>
            </w14:solidFill>
          </w14:textFill>
        </w:rPr>
        <w:t>【典型案例5-</w:t>
      </w:r>
      <w:r>
        <w:rPr>
          <w:rFonts w:ascii="楷体" w:hAnsi="楷体" w:eastAsia="楷体"/>
          <w:b/>
          <w:bCs/>
          <w:color w:val="000000" w:themeColor="text1"/>
          <w:w w:val="96"/>
          <w:sz w:val="28"/>
          <w:szCs w:val="28"/>
          <w14:textFill>
            <w14:solidFill>
              <w14:schemeClr w14:val="tx1"/>
            </w14:solidFill>
          </w14:textFill>
        </w:rPr>
        <w:t>4</w:t>
      </w:r>
      <w:r>
        <w:rPr>
          <w:rFonts w:hint="eastAsia" w:ascii="楷体" w:hAnsi="楷体" w:eastAsia="楷体"/>
          <w:b/>
          <w:bCs/>
          <w:color w:val="000000" w:themeColor="text1"/>
          <w:w w:val="96"/>
          <w:sz w:val="28"/>
          <w:szCs w:val="28"/>
          <w14:textFill>
            <w14:solidFill>
              <w14:schemeClr w14:val="tx1"/>
            </w14:solidFill>
          </w14:textFill>
        </w:rPr>
        <w:t>】爱尔福婴幼中心在学院图书馆举办户外大课堂</w:t>
      </w:r>
    </w:p>
    <w:p>
      <w:pPr>
        <w:autoSpaceDE w:val="0"/>
        <w:autoSpaceDN w:val="0"/>
        <w:spacing w:before="190"/>
        <w:ind w:left="936" w:firstLine="560" w:firstLineChars="200"/>
        <w:jc w:val="left"/>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2020年10月，学院图书馆迎来了一批特殊的客人——爱尔福婴幼中心的小朋友，在爱尔福婴幼中心老师的带领下来到学院图书馆开展户外大课堂活动。</w:t>
      </w:r>
    </w:p>
    <w:p>
      <w:pPr>
        <w:autoSpaceDE w:val="0"/>
        <w:autoSpaceDN w:val="0"/>
        <w:spacing w:before="190"/>
        <w:ind w:left="936" w:firstLine="560" w:firstLineChars="200"/>
        <w:jc w:val="left"/>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此次活动是学院图书馆服务社区的首次尝试，活动取得了圆满成功，也是学院图书馆建设成可以面向学院师生、教职工子弟和周边社区居民，提供一个集学习阅读、信息交流和文化休闲于一体的信息化、智能化、现代化的公共知识服务空间的重要一步。</w:t>
      </w:r>
    </w:p>
    <w:p>
      <w:pPr>
        <w:pStyle w:val="3"/>
      </w:pPr>
      <w:bookmarkStart w:id="81" w:name="_Toc8927"/>
      <w:r>
        <w:t>5.5</w:t>
      </w:r>
      <w:r>
        <w:rPr>
          <w:rFonts w:hint="eastAsia"/>
        </w:rPr>
        <w:t>开展技术研发</w:t>
      </w:r>
      <w:bookmarkEnd w:id="81"/>
    </w:p>
    <w:p>
      <w:pPr>
        <w:pStyle w:val="4"/>
        <w:ind w:firstLine="320" w:firstLineChars="100"/>
        <w:rPr>
          <w:b w:val="0"/>
          <w:bCs w:val="0"/>
        </w:rPr>
      </w:pPr>
      <w:bookmarkStart w:id="82" w:name="_Toc27586"/>
      <w:r>
        <w:rPr>
          <w:b w:val="0"/>
          <w:bCs w:val="0"/>
        </w:rPr>
        <w:t>5.5.1</w:t>
      </w:r>
      <w:r>
        <w:rPr>
          <w:rFonts w:hint="eastAsia"/>
          <w:b w:val="0"/>
          <w:bCs w:val="0"/>
        </w:rPr>
        <w:t>共建技术创新平台</w:t>
      </w:r>
      <w:bookmarkEnd w:id="82"/>
    </w:p>
    <w:p>
      <w:pPr>
        <w:autoSpaceDE w:val="0"/>
        <w:autoSpaceDN w:val="0"/>
        <w:spacing w:before="190"/>
        <w:ind w:left="936" w:firstLine="640" w:firstLineChars="200"/>
        <w:jc w:val="left"/>
        <w:rPr>
          <w:rFonts w:ascii="仿宋" w:hAnsi="仿宋"/>
          <w:szCs w:val="32"/>
        </w:rPr>
      </w:pPr>
      <w:r>
        <w:rPr>
          <w:rFonts w:hint="eastAsia" w:ascii="仿宋" w:hAnsi="仿宋"/>
          <w:szCs w:val="32"/>
        </w:rPr>
        <w:t>2021年6月，学院与安化县人民政府与谦益吉安化黑茶供应链签约“安化黑茶直播与视频基地”，本次基地项目推进有力、建设迅速，校地企三方以该基地为平台，紧紧围绕培养高素质技术技能人才而共同发力，扎实推进三方产学研合作，真正实现校地企三方优势互补、互惠共赢，在乡村振兴伟大征程中凝聚合力。</w:t>
      </w:r>
    </w:p>
    <w:p>
      <w:pPr>
        <w:pStyle w:val="4"/>
        <w:ind w:firstLine="320" w:firstLineChars="100"/>
        <w:rPr>
          <w:b w:val="0"/>
          <w:bCs w:val="0"/>
        </w:rPr>
      </w:pPr>
      <w:bookmarkStart w:id="83" w:name="_Toc25430"/>
      <w:r>
        <w:rPr>
          <w:b w:val="0"/>
          <w:bCs w:val="0"/>
        </w:rPr>
        <w:t>5.5.2</w:t>
      </w:r>
      <w:r>
        <w:rPr>
          <w:rFonts w:hint="eastAsia"/>
          <w:b w:val="0"/>
          <w:bCs w:val="0"/>
        </w:rPr>
        <w:t>合作开展技术攻关</w:t>
      </w:r>
      <w:bookmarkEnd w:id="83"/>
    </w:p>
    <w:p>
      <w:pPr>
        <w:autoSpaceDE w:val="0"/>
        <w:autoSpaceDN w:val="0"/>
        <w:spacing w:before="190"/>
        <w:ind w:left="936" w:firstLine="640" w:firstLineChars="200"/>
        <w:jc w:val="left"/>
        <w:rPr>
          <w:rFonts w:ascii="仿宋" w:hAnsi="仿宋"/>
          <w:szCs w:val="32"/>
        </w:rPr>
      </w:pPr>
      <w:r>
        <w:rPr>
          <w:rFonts w:hint="eastAsia" w:ascii="仿宋" w:hAnsi="仿宋"/>
          <w:szCs w:val="32"/>
        </w:rPr>
        <w:t>学院与时光坐标、新迈尔公司、广州彩熠灯光股份有限公司进行合作，校企双方在自身发展与社会服务的基础上，相互依托，借助行赛平台，培养技能人才，服务地方经济，形成你中有我、我中有你的良好局面。通过培养优秀团队，实施人才强校战略，与此同时，将培养人才输送到企业中，助力技术的提升和突破。</w:t>
      </w:r>
    </w:p>
    <w:p>
      <w:pPr>
        <w:pStyle w:val="4"/>
        <w:ind w:firstLine="320" w:firstLineChars="100"/>
        <w:rPr>
          <w:b w:val="0"/>
          <w:bCs w:val="0"/>
        </w:rPr>
      </w:pPr>
      <w:bookmarkStart w:id="84" w:name="_Toc7502"/>
      <w:r>
        <w:rPr>
          <w:b w:val="0"/>
          <w:bCs w:val="0"/>
        </w:rPr>
        <w:t>5.5.3</w:t>
      </w:r>
      <w:r>
        <w:rPr>
          <w:rFonts w:hint="eastAsia"/>
          <w:b w:val="0"/>
          <w:bCs w:val="0"/>
        </w:rPr>
        <w:t>持续推进自科基金项目研究</w:t>
      </w:r>
      <w:bookmarkEnd w:id="84"/>
    </w:p>
    <w:p>
      <w:pPr>
        <w:autoSpaceDE w:val="0"/>
        <w:autoSpaceDN w:val="0"/>
        <w:spacing w:before="190"/>
        <w:ind w:left="936" w:firstLine="640" w:firstLineChars="200"/>
        <w:jc w:val="left"/>
        <w:rPr>
          <w:rFonts w:ascii="仿宋" w:hAnsi="仿宋"/>
          <w:szCs w:val="32"/>
        </w:rPr>
      </w:pPr>
      <w:r>
        <w:rPr>
          <w:rFonts w:hint="eastAsia" w:ascii="仿宋" w:hAnsi="仿宋"/>
          <w:szCs w:val="32"/>
        </w:rPr>
        <w:t>自然科学基金作为支持基础研究的主渠道之一，学院积极推动教师针对学院实际和专业建设申报自然科学基金项目。</w:t>
      </w:r>
    </w:p>
    <w:p>
      <w:pPr>
        <w:autoSpaceDE w:val="0"/>
        <w:autoSpaceDN w:val="0"/>
        <w:spacing w:before="190"/>
        <w:ind w:left="936" w:firstLine="640" w:firstLineChars="200"/>
        <w:jc w:val="left"/>
        <w:rPr>
          <w:rFonts w:ascii="仿宋" w:hAnsi="仿宋"/>
          <w:szCs w:val="32"/>
        </w:rPr>
      </w:pPr>
      <w:r>
        <w:rPr>
          <w:rFonts w:hint="eastAsia" w:ascii="仿宋" w:hAnsi="仿宋"/>
          <w:szCs w:val="32"/>
        </w:rPr>
        <w:t>截至目前，学院已申报了《</w:t>
      </w:r>
      <w:r>
        <w:rPr>
          <w:rFonts w:ascii="仿宋" w:hAnsi="仿宋"/>
          <w:szCs w:val="32"/>
        </w:rPr>
        <w:t>基于主客共享的湖南乡村社区公共空间重塑：过程与机制</w:t>
      </w:r>
      <w:r>
        <w:rPr>
          <w:rFonts w:hint="eastAsia" w:ascii="仿宋" w:hAnsi="仿宋"/>
          <w:szCs w:val="32"/>
        </w:rPr>
        <w:t>》《</w:t>
      </w:r>
      <w:r>
        <w:rPr>
          <w:rFonts w:ascii="仿宋" w:hAnsi="仿宋"/>
          <w:szCs w:val="32"/>
        </w:rPr>
        <w:t>“三高四新”</w:t>
      </w:r>
      <w:r>
        <w:rPr>
          <w:rFonts w:ascii="仿宋" w:hAnsi="仿宋"/>
          <w:w w:val="96"/>
          <w:szCs w:val="32"/>
        </w:rPr>
        <w:t>战略下新时代高职“传媒工匠”培育路径研究</w:t>
      </w:r>
      <w:r>
        <w:rPr>
          <w:rFonts w:hint="eastAsia" w:ascii="仿宋" w:hAnsi="仿宋"/>
          <w:w w:val="96"/>
          <w:szCs w:val="32"/>
        </w:rPr>
        <w:t>》等项目。</w:t>
      </w:r>
    </w:p>
    <w:p>
      <w:pPr>
        <w:pStyle w:val="2"/>
      </w:pPr>
      <w:bookmarkStart w:id="85" w:name="_Toc1788"/>
      <w:r>
        <w:t>6</w:t>
      </w:r>
      <w:r>
        <w:rPr>
          <w:rFonts w:hint="eastAsia"/>
        </w:rPr>
        <w:t>面临挑战</w:t>
      </w:r>
      <w:bookmarkEnd w:id="85"/>
    </w:p>
    <w:p>
      <w:pPr>
        <w:autoSpaceDE w:val="0"/>
        <w:autoSpaceDN w:val="0"/>
        <w:spacing w:before="190"/>
        <w:ind w:left="936"/>
        <w:jc w:val="left"/>
        <w:rPr>
          <w:rFonts w:ascii="仿宋" w:hAnsi="仿宋"/>
          <w:b/>
          <w:bCs/>
          <w:szCs w:val="32"/>
        </w:rPr>
      </w:pPr>
      <w:r>
        <w:rPr>
          <w:rFonts w:hint="eastAsia" w:ascii="仿宋" w:hAnsi="仿宋"/>
          <w:b/>
          <w:bCs/>
          <w:szCs w:val="32"/>
        </w:rPr>
        <w:t>（一）学院财政支持力度需大幅度提高</w:t>
      </w:r>
    </w:p>
    <w:p>
      <w:pPr>
        <w:autoSpaceDE w:val="0"/>
        <w:autoSpaceDN w:val="0"/>
        <w:spacing w:before="190"/>
        <w:ind w:left="936"/>
        <w:jc w:val="left"/>
        <w:rPr>
          <w:rFonts w:ascii="仿宋" w:hAnsi="仿宋"/>
          <w:szCs w:val="32"/>
        </w:rPr>
      </w:pPr>
      <w:r>
        <w:rPr>
          <w:rFonts w:ascii="仿宋" w:hAnsi="仿宋"/>
          <w:szCs w:val="32"/>
        </w:rPr>
        <w:t>从基本办学条件看，学院经费收入总额9298.55万元，在同类高职院校中处于较低水平；2020年生均财政拨款水平1.13万元，未达到教育部规定的1.2万元，中职办学基本上是亏本运行，没有上级财政的生均拨款。新校区建设由于历时时间长，财务成本高，变更签证金额也较大，新校区建设概算调整没有得到推进，学院承担的债务压力巨大，严重影响学院的长远发展。</w:t>
      </w:r>
      <w:r>
        <w:rPr>
          <w:rFonts w:ascii="仿宋" w:hAnsi="仿宋"/>
          <w:szCs w:val="32"/>
        </w:rPr>
        <w:cr/>
      </w:r>
      <w:r>
        <w:rPr>
          <w:rFonts w:ascii="仿宋" w:hAnsi="仿宋"/>
          <w:b/>
          <w:bCs/>
          <w:szCs w:val="32"/>
        </w:rPr>
        <w:t>（二）“双高”院校建设任重道远</w:t>
      </w:r>
      <w:r>
        <w:rPr>
          <w:rFonts w:ascii="仿宋" w:hAnsi="仿宋"/>
          <w:b/>
          <w:bCs/>
          <w:szCs w:val="32"/>
        </w:rPr>
        <w:cr/>
      </w:r>
      <w:r>
        <w:rPr>
          <w:rFonts w:ascii="仿宋" w:hAnsi="仿宋"/>
          <w:szCs w:val="32"/>
        </w:rPr>
        <w:t>总体来看，学院一流专业群和骨干专业不多，专业标准体系还不完善，专业品牌的影响力有限，专业人才培养方案</w:t>
      </w:r>
      <w:r>
        <w:rPr>
          <w:rFonts w:hint="eastAsia" w:ascii="仿宋" w:hAnsi="仿宋"/>
          <w:szCs w:val="32"/>
        </w:rPr>
        <w:t>与市场的融合度不高。各专业师资队伍不平衡，专业带头人的带动效果不明显，学科发展后劲有待跟上。学院产教融合、校企合作整体水平还不高。学院专业建设和师资力量与高水平高等职业院校还存在一定差距。</w:t>
      </w:r>
      <w:r>
        <w:rPr>
          <w:rFonts w:ascii="仿宋" w:hAnsi="仿宋"/>
          <w:szCs w:val="32"/>
        </w:rPr>
        <w:cr/>
      </w:r>
      <w:r>
        <w:rPr>
          <w:rFonts w:ascii="仿宋" w:hAnsi="仿宋"/>
          <w:b/>
          <w:bCs/>
          <w:szCs w:val="32"/>
        </w:rPr>
        <w:t>（三）制度化管理有待进一步规范</w:t>
      </w:r>
      <w:r>
        <w:rPr>
          <w:rFonts w:ascii="仿宋" w:hAnsi="仿宋"/>
          <w:b/>
          <w:bCs/>
          <w:szCs w:val="32"/>
        </w:rPr>
        <w:cr/>
      </w:r>
      <w:r>
        <w:rPr>
          <w:rFonts w:ascii="仿宋" w:hAnsi="仿宋"/>
          <w:szCs w:val="32"/>
        </w:rPr>
        <w:t>学院内控体系的建立刚刚起步，针对学院各项业务管理都建立了相关制度，在制度的实施过程中要进一步减少人为、人情等主管因素，要根植制度管人、制度管事的意识，最大程度上确保各项制度的顺利执行，保障各项事务在公平公正的环境中运行。</w:t>
      </w:r>
      <w:r>
        <w:rPr>
          <w:rFonts w:ascii="仿宋" w:hAnsi="仿宋"/>
          <w:szCs w:val="32"/>
        </w:rPr>
        <w:cr/>
      </w:r>
      <w:r>
        <w:rPr>
          <w:rFonts w:ascii="仿宋" w:hAnsi="仿宋"/>
          <w:b/>
          <w:bCs/>
          <w:szCs w:val="32"/>
        </w:rPr>
        <w:t>（四）国际合作亟待推进</w:t>
      </w:r>
      <w:r>
        <w:rPr>
          <w:rFonts w:ascii="仿宋" w:hAnsi="仿宋"/>
          <w:b/>
          <w:bCs/>
          <w:szCs w:val="32"/>
        </w:rPr>
        <w:cr/>
      </w:r>
      <w:r>
        <w:rPr>
          <w:rFonts w:ascii="仿宋" w:hAnsi="仿宋"/>
          <w:szCs w:val="32"/>
        </w:rPr>
        <w:t>从整体而言，我院的国际化水平与同类型的兄弟院</w:t>
      </w:r>
      <w:r>
        <w:rPr>
          <w:rFonts w:hint="eastAsia" w:ascii="仿宋" w:hAnsi="仿宋"/>
          <w:szCs w:val="32"/>
        </w:rPr>
        <w:t>校相比有一定差距，只开展了单一的文艺演出交流和相关研讨，未开展合作办学等，这与“一带一路”的倡议要求不相符。</w:t>
      </w: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jc w:val="left"/>
        <w:rPr>
          <w:rFonts w:ascii="仿宋" w:hAnsi="仿宋"/>
          <w:szCs w:val="32"/>
        </w:rPr>
      </w:pPr>
    </w:p>
    <w:p>
      <w:pPr>
        <w:pStyle w:val="2"/>
      </w:pPr>
      <w:bookmarkStart w:id="86" w:name="_Toc22043"/>
      <w:r>
        <w:rPr>
          <w:rFonts w:hint="eastAsia"/>
        </w:rPr>
        <w:t>数据表汇总</w:t>
      </w:r>
      <w:bookmarkEnd w:id="86"/>
    </w:p>
    <w:p>
      <w:pPr>
        <w:pStyle w:val="2"/>
      </w:pPr>
      <w:bookmarkStart w:id="87" w:name="_Toc2936"/>
      <w:r>
        <w:rPr>
          <w:rFonts w:hint="eastAsia"/>
        </w:rPr>
        <w:t>表</w:t>
      </w:r>
      <w:r>
        <w:t>1  计分卡</w:t>
      </w:r>
      <w:bookmarkEnd w:id="87"/>
    </w:p>
    <w:tbl>
      <w:tblPr>
        <w:tblStyle w:val="12"/>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799"/>
        <w:gridCol w:w="493"/>
        <w:gridCol w:w="2689"/>
        <w:gridCol w:w="842"/>
        <w:gridCol w:w="1080"/>
        <w:gridCol w:w="1050"/>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97" w:type="dxa"/>
          </w:tcPr>
          <w:p>
            <w:pPr>
              <w:widowControl/>
              <w:autoSpaceDE w:val="0"/>
              <w:snapToGrid w:val="0"/>
              <w:spacing w:line="288" w:lineRule="auto"/>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院校代码</w:t>
            </w:r>
          </w:p>
        </w:tc>
        <w:tc>
          <w:tcPr>
            <w:tcW w:w="799" w:type="dxa"/>
            <w:vAlign w:val="center"/>
          </w:tcPr>
          <w:p>
            <w:pPr>
              <w:widowControl/>
              <w:autoSpaceDE w:val="0"/>
              <w:snapToGrid w:val="0"/>
              <w:spacing w:line="288" w:lineRule="auto"/>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院校名称</w:t>
            </w:r>
          </w:p>
        </w:tc>
        <w:tc>
          <w:tcPr>
            <w:tcW w:w="3182" w:type="dxa"/>
            <w:gridSpan w:val="2"/>
            <w:noWrap/>
            <w:vAlign w:val="center"/>
          </w:tcPr>
          <w:p>
            <w:pPr>
              <w:widowControl/>
              <w:autoSpaceDE w:val="0"/>
              <w:snapToGrid w:val="0"/>
              <w:spacing w:line="288" w:lineRule="auto"/>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指标</w:t>
            </w:r>
          </w:p>
        </w:tc>
        <w:tc>
          <w:tcPr>
            <w:tcW w:w="842" w:type="dxa"/>
            <w:noWrap/>
            <w:vAlign w:val="center"/>
          </w:tcPr>
          <w:p>
            <w:pPr>
              <w:widowControl/>
              <w:autoSpaceDE w:val="0"/>
              <w:snapToGrid w:val="0"/>
              <w:spacing w:line="288" w:lineRule="auto"/>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单位</w:t>
            </w:r>
          </w:p>
        </w:tc>
        <w:tc>
          <w:tcPr>
            <w:tcW w:w="1080" w:type="dxa"/>
            <w:noWrap/>
            <w:vAlign w:val="center"/>
          </w:tcPr>
          <w:p>
            <w:pPr>
              <w:widowControl/>
              <w:autoSpaceDE w:val="0"/>
              <w:snapToGrid w:val="0"/>
              <w:spacing w:line="288" w:lineRule="auto"/>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2020</w:t>
            </w:r>
            <w:r>
              <w:rPr>
                <w:rFonts w:ascii="仿宋_GB2312" w:hAnsi="Times New Roman" w:eastAsia="仿宋_GB2312"/>
                <w:b/>
                <w:bCs/>
                <w:kern w:val="0"/>
                <w:sz w:val="24"/>
                <w:szCs w:val="24"/>
              </w:rPr>
              <w:t>年</w:t>
            </w:r>
          </w:p>
        </w:tc>
        <w:tc>
          <w:tcPr>
            <w:tcW w:w="1050" w:type="dxa"/>
            <w:noWrap/>
            <w:vAlign w:val="center"/>
          </w:tcPr>
          <w:p>
            <w:pPr>
              <w:widowControl/>
              <w:autoSpaceDE w:val="0"/>
              <w:snapToGrid w:val="0"/>
              <w:spacing w:line="288" w:lineRule="auto"/>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2021</w:t>
            </w:r>
            <w:r>
              <w:rPr>
                <w:rFonts w:ascii="仿宋_GB2312" w:hAnsi="Times New Roman" w:eastAsia="仿宋_GB2312"/>
                <w:b/>
                <w:bCs/>
                <w:kern w:val="0"/>
                <w:sz w:val="24"/>
                <w:szCs w:val="24"/>
              </w:rPr>
              <w:t>年</w:t>
            </w:r>
          </w:p>
        </w:tc>
        <w:tc>
          <w:tcPr>
            <w:tcW w:w="1245" w:type="dxa"/>
            <w:noWrap/>
            <w:vAlign w:val="center"/>
          </w:tcPr>
          <w:p>
            <w:pPr>
              <w:widowControl/>
              <w:autoSpaceDE w:val="0"/>
              <w:snapToGrid w:val="0"/>
              <w:spacing w:line="288" w:lineRule="auto"/>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97" w:type="dxa"/>
            <w:vMerge w:val="restart"/>
          </w:tcPr>
          <w:p>
            <w:pPr>
              <w:widowControl/>
              <w:autoSpaceDE w:val="0"/>
              <w:snapToGrid w:val="0"/>
              <w:spacing w:line="288" w:lineRule="auto"/>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3032</w:t>
            </w:r>
          </w:p>
        </w:tc>
        <w:tc>
          <w:tcPr>
            <w:tcW w:w="799" w:type="dxa"/>
            <w:vMerge w:val="restart"/>
          </w:tcPr>
          <w:p>
            <w:pPr>
              <w:widowControl/>
              <w:autoSpaceDE w:val="0"/>
              <w:snapToGrid w:val="0"/>
              <w:spacing w:line="288" w:lineRule="auto"/>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湖南艺术职业学院</w:t>
            </w:r>
          </w:p>
        </w:tc>
        <w:tc>
          <w:tcPr>
            <w:tcW w:w="493" w:type="dxa"/>
            <w:noWrap/>
            <w:vAlign w:val="center"/>
          </w:tcPr>
          <w:p>
            <w:pPr>
              <w:widowControl/>
              <w:autoSpaceDE w:val="0"/>
              <w:snapToGrid w:val="0"/>
              <w:spacing w:line="288" w:lineRule="auto"/>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2689" w:type="dxa"/>
            <w:vAlign w:val="center"/>
          </w:tcPr>
          <w:p>
            <w:pPr>
              <w:widowControl/>
              <w:autoSpaceDE w:val="0"/>
              <w:snapToGrid w:val="0"/>
              <w:spacing w:line="288" w:lineRule="auto"/>
              <w:jc w:val="left"/>
              <w:rPr>
                <w:rFonts w:ascii="Times New Roman" w:hAnsi="Times New Roman" w:eastAsia="仿宋_GB2312"/>
                <w:kern w:val="0"/>
                <w:sz w:val="24"/>
                <w:szCs w:val="24"/>
              </w:rPr>
            </w:pPr>
            <w:r>
              <w:rPr>
                <w:rFonts w:ascii="Times New Roman" w:hAnsi="Times New Roman" w:eastAsia="仿宋_GB2312"/>
                <w:kern w:val="0"/>
                <w:sz w:val="24"/>
                <w:szCs w:val="24"/>
              </w:rPr>
              <w:t>就业率</w:t>
            </w:r>
            <w:r>
              <w:rPr>
                <w:rFonts w:ascii="Times New Roman" w:hAnsi="Times New Roman" w:eastAsia="仿宋_GB2312"/>
                <w:color w:val="FF0000"/>
                <w:kern w:val="0"/>
                <w:sz w:val="24"/>
                <w:szCs w:val="24"/>
              </w:rPr>
              <w:t> </w:t>
            </w:r>
          </w:p>
        </w:tc>
        <w:tc>
          <w:tcPr>
            <w:tcW w:w="842" w:type="dxa"/>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080" w:type="dxa"/>
            <w:noWrap/>
            <w:vAlign w:val="center"/>
          </w:tcPr>
          <w:p>
            <w:pPr>
              <w:widowControl/>
              <w:autoSpaceDE w:val="0"/>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82.62</w:t>
            </w:r>
          </w:p>
        </w:tc>
        <w:tc>
          <w:tcPr>
            <w:tcW w:w="1050"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w:t>
            </w:r>
            <w:r>
              <w:rPr>
                <w:rFonts w:ascii="Times New Roman" w:hAnsi="Times New Roman" w:eastAsia="仿宋_GB2312"/>
                <w:kern w:val="0"/>
                <w:sz w:val="24"/>
                <w:szCs w:val="24"/>
              </w:rPr>
              <w:t>9.66</w:t>
            </w:r>
          </w:p>
        </w:tc>
        <w:tc>
          <w:tcPr>
            <w:tcW w:w="1245" w:type="dxa"/>
            <w:noWrap/>
            <w:vAlign w:val="center"/>
          </w:tcPr>
          <w:p>
            <w:pPr>
              <w:widowControl/>
              <w:autoSpaceDE w:val="0"/>
              <w:snapToGrid w:val="0"/>
              <w:spacing w:line="288" w:lineRule="auto"/>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97" w:type="dxa"/>
            <w:vMerge w:val="continue"/>
            <w:vAlign w:val="center"/>
          </w:tcPr>
          <w:p>
            <w:pPr>
              <w:widowControl/>
              <w:jc w:val="left"/>
              <w:rPr>
                <w:rFonts w:ascii="Times New Roman" w:hAnsi="Times New Roman" w:eastAsia="仿宋_GB2312"/>
                <w:kern w:val="0"/>
                <w:sz w:val="24"/>
                <w:szCs w:val="24"/>
              </w:rPr>
            </w:pPr>
          </w:p>
        </w:tc>
        <w:tc>
          <w:tcPr>
            <w:tcW w:w="799" w:type="dxa"/>
            <w:vMerge w:val="continue"/>
            <w:vAlign w:val="center"/>
          </w:tcPr>
          <w:p>
            <w:pPr>
              <w:widowControl/>
              <w:jc w:val="left"/>
              <w:rPr>
                <w:rFonts w:ascii="Times New Roman" w:hAnsi="Times New Roman" w:eastAsia="仿宋_GB2312"/>
                <w:kern w:val="0"/>
                <w:sz w:val="24"/>
                <w:szCs w:val="24"/>
              </w:rPr>
            </w:pPr>
          </w:p>
        </w:tc>
        <w:tc>
          <w:tcPr>
            <w:tcW w:w="493" w:type="dxa"/>
            <w:noWrap/>
            <w:vAlign w:val="center"/>
          </w:tcPr>
          <w:p>
            <w:pPr>
              <w:widowControl/>
              <w:autoSpaceDE w:val="0"/>
              <w:snapToGrid w:val="0"/>
              <w:spacing w:line="288" w:lineRule="auto"/>
              <w:rPr>
                <w:rFonts w:ascii="Times New Roman" w:hAnsi="Times New Roman" w:eastAsia="仿宋_GB2312"/>
                <w:kern w:val="0"/>
                <w:sz w:val="24"/>
                <w:szCs w:val="24"/>
                <w:highlight w:val="yellow"/>
              </w:rPr>
            </w:pPr>
            <w:r>
              <w:rPr>
                <w:rFonts w:ascii="Times New Roman" w:hAnsi="Times New Roman" w:eastAsia="仿宋_GB2312"/>
                <w:kern w:val="0"/>
                <w:sz w:val="24"/>
                <w:szCs w:val="24"/>
              </w:rPr>
              <w:t>2</w:t>
            </w:r>
          </w:p>
        </w:tc>
        <w:tc>
          <w:tcPr>
            <w:tcW w:w="2689" w:type="dxa"/>
            <w:vAlign w:val="center"/>
          </w:tcPr>
          <w:p>
            <w:pPr>
              <w:widowControl/>
              <w:autoSpaceDE w:val="0"/>
              <w:snapToGrid w:val="0"/>
              <w:spacing w:line="288" w:lineRule="auto"/>
              <w:jc w:val="left"/>
              <w:rPr>
                <w:rFonts w:ascii="Times New Roman" w:hAnsi="Times New Roman" w:eastAsia="仿宋_GB2312"/>
                <w:kern w:val="0"/>
                <w:sz w:val="24"/>
                <w:szCs w:val="24"/>
              </w:rPr>
            </w:pPr>
            <w:r>
              <w:rPr>
                <w:rFonts w:ascii="Times New Roman" w:hAnsi="Times New Roman" w:eastAsia="仿宋_GB2312"/>
                <w:kern w:val="0"/>
                <w:sz w:val="24"/>
                <w:szCs w:val="24"/>
              </w:rPr>
              <w:t>毕业生本省就业比例</w:t>
            </w:r>
          </w:p>
        </w:tc>
        <w:tc>
          <w:tcPr>
            <w:tcW w:w="842" w:type="dxa"/>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080" w:type="dxa"/>
            <w:noWrap/>
            <w:vAlign w:val="center"/>
          </w:tcPr>
          <w:p>
            <w:pPr>
              <w:widowControl/>
              <w:autoSpaceDE w:val="0"/>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7</w:t>
            </w:r>
            <w:r>
              <w:rPr>
                <w:rFonts w:ascii="Times New Roman" w:hAnsi="Times New Roman" w:eastAsia="仿宋_GB2312"/>
                <w:color w:val="000000" w:themeColor="text1"/>
                <w:kern w:val="0"/>
                <w:sz w:val="24"/>
                <w:szCs w:val="24"/>
                <w14:textFill>
                  <w14:solidFill>
                    <w14:schemeClr w14:val="tx1"/>
                  </w14:solidFill>
                </w14:textFill>
              </w:rPr>
              <w:t>5.02</w:t>
            </w:r>
          </w:p>
        </w:tc>
        <w:tc>
          <w:tcPr>
            <w:tcW w:w="1050"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r>
              <w:rPr>
                <w:rFonts w:ascii="Times New Roman" w:hAnsi="Times New Roman" w:eastAsia="仿宋_GB2312"/>
                <w:kern w:val="0"/>
                <w:sz w:val="24"/>
                <w:szCs w:val="24"/>
              </w:rPr>
              <w:t>0.16</w:t>
            </w:r>
          </w:p>
        </w:tc>
        <w:tc>
          <w:tcPr>
            <w:tcW w:w="1245" w:type="dxa"/>
            <w:noWrap/>
            <w:vAlign w:val="center"/>
          </w:tcPr>
          <w:p>
            <w:pPr>
              <w:widowControl/>
              <w:autoSpaceDE w:val="0"/>
              <w:snapToGrid w:val="0"/>
              <w:spacing w:line="288" w:lineRule="auto"/>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97" w:type="dxa"/>
            <w:vMerge w:val="continue"/>
            <w:vAlign w:val="center"/>
          </w:tcPr>
          <w:p>
            <w:pPr>
              <w:widowControl/>
              <w:jc w:val="left"/>
              <w:rPr>
                <w:rFonts w:ascii="Times New Roman" w:hAnsi="Times New Roman" w:eastAsia="仿宋_GB2312"/>
                <w:kern w:val="0"/>
                <w:sz w:val="24"/>
                <w:szCs w:val="24"/>
              </w:rPr>
            </w:pPr>
          </w:p>
        </w:tc>
        <w:tc>
          <w:tcPr>
            <w:tcW w:w="799" w:type="dxa"/>
            <w:vMerge w:val="continue"/>
            <w:vAlign w:val="center"/>
          </w:tcPr>
          <w:p>
            <w:pPr>
              <w:widowControl/>
              <w:jc w:val="left"/>
              <w:rPr>
                <w:rFonts w:ascii="Times New Roman" w:hAnsi="Times New Roman" w:eastAsia="仿宋_GB2312"/>
                <w:kern w:val="0"/>
                <w:sz w:val="24"/>
                <w:szCs w:val="24"/>
              </w:rPr>
            </w:pPr>
          </w:p>
        </w:tc>
        <w:tc>
          <w:tcPr>
            <w:tcW w:w="493" w:type="dxa"/>
            <w:noWrap/>
            <w:vAlign w:val="center"/>
          </w:tcPr>
          <w:p>
            <w:pPr>
              <w:widowControl/>
              <w:autoSpaceDE w:val="0"/>
              <w:snapToGrid w:val="0"/>
              <w:spacing w:line="288" w:lineRule="auto"/>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2689" w:type="dxa"/>
            <w:vAlign w:val="center"/>
          </w:tcPr>
          <w:p>
            <w:pPr>
              <w:widowControl/>
              <w:autoSpaceDE w:val="0"/>
              <w:snapToGrid w:val="0"/>
              <w:spacing w:line="288" w:lineRule="auto"/>
              <w:jc w:val="left"/>
              <w:rPr>
                <w:rFonts w:ascii="Times New Roman" w:hAnsi="Times New Roman" w:eastAsia="仿宋_GB2312"/>
                <w:kern w:val="0"/>
                <w:sz w:val="24"/>
                <w:szCs w:val="24"/>
              </w:rPr>
            </w:pPr>
            <w:r>
              <w:rPr>
                <w:rFonts w:ascii="Times New Roman" w:hAnsi="Times New Roman" w:eastAsia="仿宋_GB2312"/>
                <w:kern w:val="0"/>
                <w:sz w:val="24"/>
                <w:szCs w:val="24"/>
              </w:rPr>
              <w:t>月收入</w:t>
            </w:r>
          </w:p>
        </w:tc>
        <w:tc>
          <w:tcPr>
            <w:tcW w:w="842" w:type="dxa"/>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元</w:t>
            </w:r>
          </w:p>
        </w:tc>
        <w:tc>
          <w:tcPr>
            <w:tcW w:w="1080" w:type="dxa"/>
            <w:noWrap/>
            <w:vAlign w:val="center"/>
          </w:tcPr>
          <w:p>
            <w:pPr>
              <w:widowControl/>
              <w:autoSpaceDE w:val="0"/>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3</w:t>
            </w:r>
            <w:r>
              <w:rPr>
                <w:rFonts w:ascii="Times New Roman" w:hAnsi="Times New Roman" w:eastAsia="仿宋_GB2312"/>
                <w:color w:val="000000" w:themeColor="text1"/>
                <w:kern w:val="0"/>
                <w:sz w:val="24"/>
                <w:szCs w:val="24"/>
                <w14:textFill>
                  <w14:solidFill>
                    <w14:schemeClr w14:val="tx1"/>
                  </w14:solidFill>
                </w14:textFill>
              </w:rPr>
              <w:t>678.98</w:t>
            </w:r>
          </w:p>
        </w:tc>
        <w:tc>
          <w:tcPr>
            <w:tcW w:w="1050"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844.92</w:t>
            </w:r>
          </w:p>
        </w:tc>
        <w:tc>
          <w:tcPr>
            <w:tcW w:w="1245" w:type="dxa"/>
            <w:noWrap/>
            <w:vAlign w:val="center"/>
          </w:tcPr>
          <w:p>
            <w:pPr>
              <w:widowControl/>
              <w:autoSpaceDE w:val="0"/>
              <w:snapToGrid w:val="0"/>
              <w:spacing w:line="288" w:lineRule="auto"/>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97" w:type="dxa"/>
            <w:vMerge w:val="continue"/>
            <w:vAlign w:val="center"/>
          </w:tcPr>
          <w:p>
            <w:pPr>
              <w:widowControl/>
              <w:jc w:val="left"/>
              <w:rPr>
                <w:rFonts w:ascii="Times New Roman" w:hAnsi="Times New Roman" w:eastAsia="仿宋_GB2312"/>
                <w:kern w:val="0"/>
                <w:sz w:val="24"/>
                <w:szCs w:val="24"/>
              </w:rPr>
            </w:pPr>
          </w:p>
        </w:tc>
        <w:tc>
          <w:tcPr>
            <w:tcW w:w="799" w:type="dxa"/>
            <w:vMerge w:val="continue"/>
            <w:vAlign w:val="center"/>
          </w:tcPr>
          <w:p>
            <w:pPr>
              <w:widowControl/>
              <w:jc w:val="left"/>
              <w:rPr>
                <w:rFonts w:ascii="Times New Roman" w:hAnsi="Times New Roman" w:eastAsia="仿宋_GB2312"/>
                <w:kern w:val="0"/>
                <w:sz w:val="24"/>
                <w:szCs w:val="24"/>
              </w:rPr>
            </w:pPr>
          </w:p>
        </w:tc>
        <w:tc>
          <w:tcPr>
            <w:tcW w:w="493" w:type="dxa"/>
            <w:noWrap/>
            <w:vAlign w:val="center"/>
          </w:tcPr>
          <w:p>
            <w:pPr>
              <w:widowControl/>
              <w:autoSpaceDE w:val="0"/>
              <w:snapToGrid w:val="0"/>
              <w:spacing w:line="288" w:lineRule="auto"/>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2689" w:type="dxa"/>
            <w:vAlign w:val="center"/>
          </w:tcPr>
          <w:p>
            <w:pPr>
              <w:widowControl/>
              <w:autoSpaceDE w:val="0"/>
              <w:snapToGrid w:val="0"/>
              <w:spacing w:line="288" w:lineRule="auto"/>
              <w:jc w:val="left"/>
              <w:rPr>
                <w:rFonts w:ascii="Times New Roman" w:hAnsi="Times New Roman" w:eastAsia="仿宋_GB2312"/>
                <w:kern w:val="0"/>
                <w:sz w:val="24"/>
                <w:szCs w:val="24"/>
              </w:rPr>
            </w:pPr>
            <w:r>
              <w:rPr>
                <w:rFonts w:ascii="Times New Roman" w:hAnsi="Times New Roman" w:eastAsia="仿宋_GB2312"/>
                <w:kern w:val="0"/>
                <w:sz w:val="24"/>
                <w:szCs w:val="24"/>
              </w:rPr>
              <w:t>理工农医类专业相关度</w:t>
            </w:r>
          </w:p>
        </w:tc>
        <w:tc>
          <w:tcPr>
            <w:tcW w:w="842" w:type="dxa"/>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080" w:type="dxa"/>
            <w:noWrap/>
            <w:vAlign w:val="center"/>
          </w:tcPr>
          <w:p>
            <w:pPr>
              <w:widowControl/>
              <w:autoSpaceDE w:val="0"/>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0</w:t>
            </w:r>
          </w:p>
        </w:tc>
        <w:tc>
          <w:tcPr>
            <w:tcW w:w="1050"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1245" w:type="dxa"/>
            <w:noWrap/>
            <w:vAlign w:val="center"/>
          </w:tcPr>
          <w:p>
            <w:pPr>
              <w:widowControl/>
              <w:autoSpaceDE w:val="0"/>
              <w:snapToGrid w:val="0"/>
              <w:spacing w:line="288" w:lineRule="auto"/>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97" w:type="dxa"/>
            <w:vMerge w:val="continue"/>
            <w:vAlign w:val="center"/>
          </w:tcPr>
          <w:p>
            <w:pPr>
              <w:widowControl/>
              <w:jc w:val="left"/>
              <w:rPr>
                <w:rFonts w:ascii="Times New Roman" w:hAnsi="Times New Roman" w:eastAsia="仿宋_GB2312"/>
                <w:kern w:val="0"/>
                <w:sz w:val="24"/>
                <w:szCs w:val="24"/>
              </w:rPr>
            </w:pPr>
          </w:p>
        </w:tc>
        <w:tc>
          <w:tcPr>
            <w:tcW w:w="799" w:type="dxa"/>
            <w:vMerge w:val="continue"/>
            <w:vAlign w:val="center"/>
          </w:tcPr>
          <w:p>
            <w:pPr>
              <w:widowControl/>
              <w:jc w:val="left"/>
              <w:rPr>
                <w:rFonts w:ascii="Times New Roman" w:hAnsi="Times New Roman" w:eastAsia="仿宋_GB2312"/>
                <w:kern w:val="0"/>
                <w:sz w:val="24"/>
                <w:szCs w:val="24"/>
              </w:rPr>
            </w:pPr>
          </w:p>
        </w:tc>
        <w:tc>
          <w:tcPr>
            <w:tcW w:w="493" w:type="dxa"/>
            <w:noWrap/>
            <w:vAlign w:val="center"/>
          </w:tcPr>
          <w:p>
            <w:pPr>
              <w:widowControl/>
              <w:autoSpaceDE w:val="0"/>
              <w:snapToGrid w:val="0"/>
              <w:spacing w:line="288" w:lineRule="auto"/>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2689" w:type="dxa"/>
            <w:vAlign w:val="center"/>
          </w:tcPr>
          <w:p>
            <w:pPr>
              <w:widowControl/>
              <w:autoSpaceDE w:val="0"/>
              <w:snapToGrid w:val="0"/>
              <w:spacing w:line="288" w:lineRule="auto"/>
              <w:jc w:val="left"/>
              <w:rPr>
                <w:rFonts w:ascii="Times New Roman" w:hAnsi="Times New Roman" w:eastAsia="仿宋_GB2312"/>
                <w:kern w:val="0"/>
                <w:sz w:val="24"/>
                <w:szCs w:val="24"/>
              </w:rPr>
            </w:pPr>
            <w:r>
              <w:rPr>
                <w:rFonts w:ascii="Times New Roman" w:hAnsi="Times New Roman" w:eastAsia="仿宋_GB2312"/>
                <w:kern w:val="0"/>
                <w:sz w:val="24"/>
                <w:szCs w:val="24"/>
              </w:rPr>
              <w:t>母校满意度</w:t>
            </w:r>
          </w:p>
        </w:tc>
        <w:tc>
          <w:tcPr>
            <w:tcW w:w="842" w:type="dxa"/>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080" w:type="dxa"/>
            <w:noWrap/>
            <w:vAlign w:val="center"/>
          </w:tcPr>
          <w:p>
            <w:pPr>
              <w:widowControl/>
              <w:autoSpaceDE w:val="0"/>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9</w:t>
            </w:r>
            <w:r>
              <w:rPr>
                <w:rFonts w:ascii="Times New Roman" w:hAnsi="Times New Roman" w:eastAsia="仿宋_GB2312"/>
                <w:color w:val="000000" w:themeColor="text1"/>
                <w:kern w:val="0"/>
                <w:sz w:val="24"/>
                <w:szCs w:val="24"/>
                <w14:textFill>
                  <w14:solidFill>
                    <w14:schemeClr w14:val="tx1"/>
                  </w14:solidFill>
                </w14:textFill>
              </w:rPr>
              <w:t>7</w:t>
            </w:r>
          </w:p>
        </w:tc>
        <w:tc>
          <w:tcPr>
            <w:tcW w:w="1050"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94</w:t>
            </w:r>
          </w:p>
        </w:tc>
        <w:tc>
          <w:tcPr>
            <w:tcW w:w="1245"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97" w:type="dxa"/>
            <w:vMerge w:val="continue"/>
            <w:vAlign w:val="center"/>
          </w:tcPr>
          <w:p>
            <w:pPr>
              <w:widowControl/>
              <w:jc w:val="left"/>
              <w:rPr>
                <w:rFonts w:ascii="Times New Roman" w:hAnsi="Times New Roman" w:eastAsia="仿宋_GB2312"/>
                <w:kern w:val="0"/>
                <w:sz w:val="24"/>
                <w:szCs w:val="24"/>
              </w:rPr>
            </w:pPr>
          </w:p>
        </w:tc>
        <w:tc>
          <w:tcPr>
            <w:tcW w:w="799" w:type="dxa"/>
            <w:vMerge w:val="continue"/>
            <w:vAlign w:val="center"/>
          </w:tcPr>
          <w:p>
            <w:pPr>
              <w:widowControl/>
              <w:jc w:val="left"/>
              <w:rPr>
                <w:rFonts w:ascii="Times New Roman" w:hAnsi="Times New Roman" w:eastAsia="仿宋_GB2312"/>
                <w:kern w:val="0"/>
                <w:sz w:val="24"/>
                <w:szCs w:val="24"/>
              </w:rPr>
            </w:pPr>
          </w:p>
        </w:tc>
        <w:tc>
          <w:tcPr>
            <w:tcW w:w="493" w:type="dxa"/>
            <w:noWrap/>
            <w:vAlign w:val="center"/>
          </w:tcPr>
          <w:p>
            <w:pPr>
              <w:widowControl/>
              <w:autoSpaceDE w:val="0"/>
              <w:snapToGrid w:val="0"/>
              <w:spacing w:line="288" w:lineRule="auto"/>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2689" w:type="dxa"/>
            <w:vAlign w:val="center"/>
          </w:tcPr>
          <w:p>
            <w:pPr>
              <w:widowControl/>
              <w:autoSpaceDE w:val="0"/>
              <w:snapToGrid w:val="0"/>
              <w:spacing w:line="288" w:lineRule="auto"/>
              <w:jc w:val="left"/>
              <w:rPr>
                <w:rFonts w:ascii="Times New Roman" w:hAnsi="Times New Roman" w:eastAsia="仿宋_GB2312"/>
                <w:kern w:val="0"/>
                <w:sz w:val="24"/>
                <w:szCs w:val="24"/>
              </w:rPr>
            </w:pPr>
            <w:r>
              <w:rPr>
                <w:rFonts w:ascii="Times New Roman" w:hAnsi="Times New Roman" w:eastAsia="仿宋_GB2312"/>
                <w:kern w:val="0"/>
                <w:sz w:val="24"/>
                <w:szCs w:val="24"/>
              </w:rPr>
              <w:t>自主创业比例</w:t>
            </w:r>
          </w:p>
        </w:tc>
        <w:tc>
          <w:tcPr>
            <w:tcW w:w="842" w:type="dxa"/>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080" w:type="dxa"/>
            <w:noWrap/>
            <w:vAlign w:val="center"/>
          </w:tcPr>
          <w:p>
            <w:pPr>
              <w:widowControl/>
              <w:autoSpaceDE w:val="0"/>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1</w:t>
            </w:r>
            <w:r>
              <w:rPr>
                <w:rFonts w:ascii="Times New Roman" w:hAnsi="Times New Roman" w:eastAsia="仿宋_GB2312"/>
                <w:color w:val="000000" w:themeColor="text1"/>
                <w:kern w:val="0"/>
                <w:sz w:val="24"/>
                <w:szCs w:val="24"/>
                <w14:textFill>
                  <w14:solidFill>
                    <w14:schemeClr w14:val="tx1"/>
                  </w14:solidFill>
                </w14:textFill>
              </w:rPr>
              <w:t>.34</w:t>
            </w:r>
          </w:p>
        </w:tc>
        <w:tc>
          <w:tcPr>
            <w:tcW w:w="1050"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.6</w:t>
            </w:r>
          </w:p>
        </w:tc>
        <w:tc>
          <w:tcPr>
            <w:tcW w:w="1245" w:type="dxa"/>
            <w:noWrap/>
            <w:vAlign w:val="center"/>
          </w:tcPr>
          <w:p>
            <w:pPr>
              <w:widowControl/>
              <w:autoSpaceDE w:val="0"/>
              <w:snapToGrid w:val="0"/>
              <w:spacing w:line="288" w:lineRule="auto"/>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97" w:type="dxa"/>
            <w:vMerge w:val="continue"/>
            <w:vAlign w:val="center"/>
          </w:tcPr>
          <w:p>
            <w:pPr>
              <w:widowControl/>
              <w:jc w:val="left"/>
              <w:rPr>
                <w:rFonts w:ascii="Times New Roman" w:hAnsi="Times New Roman" w:eastAsia="仿宋_GB2312"/>
                <w:kern w:val="0"/>
                <w:sz w:val="24"/>
                <w:szCs w:val="24"/>
              </w:rPr>
            </w:pPr>
          </w:p>
        </w:tc>
        <w:tc>
          <w:tcPr>
            <w:tcW w:w="799" w:type="dxa"/>
            <w:vMerge w:val="continue"/>
            <w:vAlign w:val="center"/>
          </w:tcPr>
          <w:p>
            <w:pPr>
              <w:widowControl/>
              <w:jc w:val="left"/>
              <w:rPr>
                <w:rFonts w:ascii="Times New Roman" w:hAnsi="Times New Roman" w:eastAsia="仿宋_GB2312"/>
                <w:kern w:val="0"/>
                <w:sz w:val="24"/>
                <w:szCs w:val="24"/>
              </w:rPr>
            </w:pPr>
          </w:p>
        </w:tc>
        <w:tc>
          <w:tcPr>
            <w:tcW w:w="493" w:type="dxa"/>
            <w:noWrap/>
            <w:vAlign w:val="center"/>
          </w:tcPr>
          <w:p>
            <w:pPr>
              <w:widowControl/>
              <w:autoSpaceDE w:val="0"/>
              <w:snapToGrid w:val="0"/>
              <w:spacing w:line="288" w:lineRule="auto"/>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2689" w:type="dxa"/>
            <w:vAlign w:val="center"/>
          </w:tcPr>
          <w:p>
            <w:pPr>
              <w:widowControl/>
              <w:autoSpaceDE w:val="0"/>
              <w:snapToGrid w:val="0"/>
              <w:spacing w:line="288" w:lineRule="auto"/>
              <w:jc w:val="left"/>
              <w:rPr>
                <w:rFonts w:ascii="Times New Roman" w:hAnsi="Times New Roman" w:eastAsia="仿宋_GB2312"/>
                <w:kern w:val="0"/>
                <w:sz w:val="24"/>
                <w:szCs w:val="24"/>
              </w:rPr>
            </w:pPr>
            <w:r>
              <w:rPr>
                <w:rFonts w:ascii="Times New Roman" w:hAnsi="Times New Roman" w:eastAsia="仿宋_GB2312"/>
                <w:kern w:val="0"/>
                <w:sz w:val="24"/>
                <w:szCs w:val="24"/>
              </w:rPr>
              <w:t>雇主满意度</w:t>
            </w:r>
          </w:p>
        </w:tc>
        <w:tc>
          <w:tcPr>
            <w:tcW w:w="842" w:type="dxa"/>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080" w:type="dxa"/>
            <w:noWrap/>
            <w:vAlign w:val="center"/>
          </w:tcPr>
          <w:p>
            <w:pPr>
              <w:widowControl/>
              <w:autoSpaceDE w:val="0"/>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9</w:t>
            </w:r>
            <w:r>
              <w:rPr>
                <w:rFonts w:ascii="Times New Roman" w:hAnsi="Times New Roman" w:eastAsia="仿宋_GB2312"/>
                <w:color w:val="000000" w:themeColor="text1"/>
                <w:kern w:val="0"/>
                <w:sz w:val="24"/>
                <w:szCs w:val="24"/>
                <w14:textFill>
                  <w14:solidFill>
                    <w14:schemeClr w14:val="tx1"/>
                  </w14:solidFill>
                </w14:textFill>
              </w:rPr>
              <w:t>8</w:t>
            </w:r>
          </w:p>
        </w:tc>
        <w:tc>
          <w:tcPr>
            <w:tcW w:w="1050"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r>
              <w:rPr>
                <w:rFonts w:ascii="Times New Roman" w:hAnsi="Times New Roman" w:eastAsia="仿宋_GB2312"/>
                <w:kern w:val="0"/>
                <w:sz w:val="24"/>
                <w:szCs w:val="24"/>
              </w:rPr>
              <w:t>5</w:t>
            </w:r>
          </w:p>
        </w:tc>
        <w:tc>
          <w:tcPr>
            <w:tcW w:w="1245"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97" w:type="dxa"/>
            <w:vMerge w:val="continue"/>
            <w:vAlign w:val="center"/>
          </w:tcPr>
          <w:p>
            <w:pPr>
              <w:widowControl/>
              <w:jc w:val="left"/>
              <w:rPr>
                <w:rFonts w:ascii="Times New Roman" w:hAnsi="Times New Roman" w:eastAsia="仿宋_GB2312"/>
                <w:kern w:val="0"/>
                <w:sz w:val="24"/>
                <w:szCs w:val="24"/>
              </w:rPr>
            </w:pPr>
          </w:p>
        </w:tc>
        <w:tc>
          <w:tcPr>
            <w:tcW w:w="799" w:type="dxa"/>
            <w:vMerge w:val="continue"/>
            <w:vAlign w:val="center"/>
          </w:tcPr>
          <w:p>
            <w:pPr>
              <w:widowControl/>
              <w:jc w:val="left"/>
              <w:rPr>
                <w:rFonts w:ascii="Times New Roman" w:hAnsi="Times New Roman" w:eastAsia="仿宋_GB2312"/>
                <w:kern w:val="0"/>
                <w:sz w:val="24"/>
                <w:szCs w:val="24"/>
              </w:rPr>
            </w:pPr>
          </w:p>
        </w:tc>
        <w:tc>
          <w:tcPr>
            <w:tcW w:w="493" w:type="dxa"/>
            <w:noWrap/>
            <w:vAlign w:val="center"/>
          </w:tcPr>
          <w:p>
            <w:pPr>
              <w:widowControl/>
              <w:autoSpaceDE w:val="0"/>
              <w:snapToGrid w:val="0"/>
              <w:spacing w:line="288" w:lineRule="auto"/>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2689" w:type="dxa"/>
            <w:vAlign w:val="center"/>
          </w:tcPr>
          <w:p>
            <w:pPr>
              <w:widowControl/>
              <w:autoSpaceDE w:val="0"/>
              <w:snapToGrid w:val="0"/>
              <w:spacing w:line="288" w:lineRule="auto"/>
              <w:jc w:val="left"/>
              <w:rPr>
                <w:rFonts w:ascii="Times New Roman" w:hAnsi="Times New Roman" w:eastAsia="仿宋_GB2312"/>
                <w:kern w:val="0"/>
                <w:sz w:val="24"/>
                <w:szCs w:val="24"/>
              </w:rPr>
            </w:pPr>
            <w:r>
              <w:rPr>
                <w:rFonts w:ascii="Times New Roman" w:hAnsi="Times New Roman" w:eastAsia="仿宋_GB2312"/>
                <w:kern w:val="0"/>
                <w:sz w:val="24"/>
                <w:szCs w:val="24"/>
              </w:rPr>
              <w:t>毕业三年晋升比例</w:t>
            </w:r>
          </w:p>
        </w:tc>
        <w:tc>
          <w:tcPr>
            <w:tcW w:w="842" w:type="dxa"/>
            <w:vAlign w:val="center"/>
          </w:tcPr>
          <w:p>
            <w:pPr>
              <w:widowControl/>
              <w:autoSpaceDE w:val="0"/>
              <w:snapToGrid w:val="0"/>
              <w:spacing w:line="288" w:lineRule="auto"/>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080" w:type="dxa"/>
            <w:noWrap/>
            <w:vAlign w:val="center"/>
          </w:tcPr>
          <w:p>
            <w:pPr>
              <w:widowControl/>
              <w:autoSpaceDE w:val="0"/>
              <w:snapToGrid w:val="0"/>
              <w:spacing w:line="288" w:lineRule="auto"/>
              <w:jc w:val="center"/>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9</w:t>
            </w:r>
            <w:r>
              <w:rPr>
                <w:rFonts w:ascii="Times New Roman" w:hAnsi="Times New Roman" w:eastAsia="仿宋_GB2312"/>
                <w:color w:val="000000" w:themeColor="text1"/>
                <w:kern w:val="0"/>
                <w:sz w:val="24"/>
                <w:szCs w:val="24"/>
                <w14:textFill>
                  <w14:solidFill>
                    <w14:schemeClr w14:val="tx1"/>
                  </w14:solidFill>
                </w14:textFill>
              </w:rPr>
              <w:t>.15</w:t>
            </w:r>
          </w:p>
        </w:tc>
        <w:tc>
          <w:tcPr>
            <w:tcW w:w="1050" w:type="dxa"/>
            <w:noWrap/>
            <w:vAlign w:val="center"/>
          </w:tcPr>
          <w:p>
            <w:pPr>
              <w:widowControl/>
              <w:autoSpaceDE w:val="0"/>
              <w:snapToGrid w:val="0"/>
              <w:spacing w:line="288" w:lineRule="auto"/>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2</w:t>
            </w:r>
          </w:p>
        </w:tc>
        <w:tc>
          <w:tcPr>
            <w:tcW w:w="1245" w:type="dxa"/>
            <w:noWrap/>
            <w:vAlign w:val="center"/>
          </w:tcPr>
          <w:p>
            <w:pPr>
              <w:widowControl/>
              <w:autoSpaceDE w:val="0"/>
              <w:snapToGrid w:val="0"/>
              <w:spacing w:line="288" w:lineRule="auto"/>
              <w:jc w:val="center"/>
              <w:rPr>
                <w:rFonts w:ascii="Times New Roman" w:hAnsi="Times New Roman" w:eastAsia="仿宋_GB2312"/>
                <w:kern w:val="0"/>
                <w:sz w:val="24"/>
                <w:szCs w:val="24"/>
              </w:rPr>
            </w:pPr>
          </w:p>
        </w:tc>
      </w:tr>
    </w:tbl>
    <w:p>
      <w:pPr>
        <w:jc w:val="right"/>
        <w:rPr>
          <w:rFonts w:ascii="楷体" w:hAnsi="楷体" w:eastAsia="楷体"/>
          <w:sz w:val="24"/>
          <w:szCs w:val="24"/>
        </w:rPr>
      </w:pPr>
      <w:r>
        <w:rPr>
          <w:rFonts w:hint="eastAsia" w:ascii="楷体" w:hAnsi="楷体" w:eastAsia="楷体"/>
          <w:sz w:val="24"/>
          <w:szCs w:val="24"/>
        </w:rPr>
        <w:t xml:space="preserve"> </w:t>
      </w:r>
      <w:r>
        <w:rPr>
          <w:rFonts w:ascii="楷体" w:hAnsi="楷体" w:eastAsia="楷体"/>
          <w:sz w:val="24"/>
          <w:szCs w:val="24"/>
        </w:rPr>
        <w:t xml:space="preserve"> </w:t>
      </w:r>
      <w:r>
        <w:rPr>
          <w:rFonts w:hint="eastAsia" w:ascii="楷体" w:hAnsi="楷体" w:eastAsia="楷体"/>
          <w:sz w:val="24"/>
          <w:szCs w:val="24"/>
        </w:rPr>
        <w:t>数据来源：高等职业院校人才培养工作状态数据采集与管理系统</w:t>
      </w:r>
    </w:p>
    <w:p>
      <w:pPr>
        <w:rPr>
          <w:rFonts w:ascii="Calibri" w:hAnsi="Calibri" w:eastAsia="宋体"/>
          <w:sz w:val="21"/>
        </w:rPr>
      </w:pPr>
      <w:r>
        <w:t xml:space="preserve"> </w:t>
      </w: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jc w:val="left"/>
        <w:rPr>
          <w:rFonts w:hint="eastAsia" w:ascii="仿宋" w:hAnsi="仿宋"/>
          <w:szCs w:val="32"/>
        </w:rPr>
      </w:pPr>
    </w:p>
    <w:p>
      <w:pPr>
        <w:pStyle w:val="2"/>
      </w:pPr>
      <w:bookmarkStart w:id="88" w:name="_Toc28073"/>
      <w:r>
        <w:t>表</w:t>
      </w:r>
      <w:r>
        <w:rPr>
          <w:rFonts w:hint="eastAsia"/>
        </w:rPr>
        <w:t>2  学生反馈表</w:t>
      </w:r>
      <w:bookmarkEnd w:id="88"/>
    </w:p>
    <w:tbl>
      <w:tblPr>
        <w:tblStyle w:val="13"/>
        <w:tblW w:w="54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823"/>
        <w:gridCol w:w="404"/>
        <w:gridCol w:w="1921"/>
        <w:gridCol w:w="1384"/>
        <w:gridCol w:w="823"/>
        <w:gridCol w:w="956"/>
        <w:gridCol w:w="956"/>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396" w:type="pct"/>
            <w:vAlign w:val="center"/>
          </w:tcPr>
          <w:p>
            <w:pPr>
              <w:adjustRightInd w:val="0"/>
              <w:snapToGrid w:val="0"/>
              <w:jc w:val="center"/>
              <w:rPr>
                <w:rFonts w:ascii="Times New Roman" w:hAnsi="Times New Roman" w:eastAsia="仿宋_GB2312"/>
                <w:b/>
                <w:sz w:val="24"/>
                <w:szCs w:val="24"/>
              </w:rPr>
            </w:pPr>
            <w:r>
              <w:rPr>
                <w:rFonts w:ascii="Times New Roman" w:hAnsi="Times New Roman" w:eastAsia="仿宋_GB2312"/>
                <w:b/>
                <w:sz w:val="24"/>
                <w:szCs w:val="24"/>
              </w:rPr>
              <w:t>院校代码</w:t>
            </w:r>
          </w:p>
        </w:tc>
        <w:tc>
          <w:tcPr>
            <w:tcW w:w="446" w:type="pct"/>
            <w:vAlign w:val="center"/>
          </w:tcPr>
          <w:p>
            <w:pPr>
              <w:adjustRightInd w:val="0"/>
              <w:snapToGrid w:val="0"/>
              <w:jc w:val="center"/>
              <w:rPr>
                <w:rFonts w:ascii="Times New Roman" w:hAnsi="Times New Roman" w:eastAsia="仿宋_GB2312"/>
                <w:b/>
                <w:sz w:val="24"/>
                <w:szCs w:val="24"/>
              </w:rPr>
            </w:pPr>
            <w:r>
              <w:rPr>
                <w:rFonts w:ascii="Times New Roman" w:hAnsi="Times New Roman" w:eastAsia="仿宋_GB2312"/>
                <w:b/>
                <w:sz w:val="24"/>
                <w:szCs w:val="24"/>
              </w:rPr>
              <w:t>院校</w:t>
            </w:r>
          </w:p>
          <w:p>
            <w:pPr>
              <w:adjustRightInd w:val="0"/>
              <w:snapToGrid w:val="0"/>
              <w:jc w:val="center"/>
              <w:rPr>
                <w:rFonts w:ascii="Times New Roman" w:hAnsi="Times New Roman" w:eastAsia="仿宋_GB2312"/>
                <w:b/>
                <w:sz w:val="24"/>
                <w:szCs w:val="24"/>
              </w:rPr>
            </w:pPr>
            <w:r>
              <w:rPr>
                <w:rFonts w:ascii="Times New Roman" w:hAnsi="Times New Roman" w:eastAsia="仿宋_GB2312"/>
                <w:b/>
                <w:sz w:val="24"/>
                <w:szCs w:val="24"/>
              </w:rPr>
              <w:t>名称</w:t>
            </w:r>
          </w:p>
        </w:tc>
        <w:tc>
          <w:tcPr>
            <w:tcW w:w="2010" w:type="pct"/>
            <w:gridSpan w:val="3"/>
            <w:vAlign w:val="center"/>
          </w:tcPr>
          <w:p>
            <w:pPr>
              <w:adjustRightInd w:val="0"/>
              <w:snapToGrid w:val="0"/>
              <w:jc w:val="center"/>
              <w:rPr>
                <w:rFonts w:ascii="Times New Roman" w:hAnsi="Times New Roman" w:eastAsia="仿宋_GB2312"/>
                <w:b/>
                <w:sz w:val="24"/>
                <w:szCs w:val="24"/>
              </w:rPr>
            </w:pPr>
            <w:r>
              <w:rPr>
                <w:rFonts w:ascii="Times New Roman" w:hAnsi="Times New Roman" w:eastAsia="仿宋_GB2312"/>
                <w:b/>
                <w:sz w:val="24"/>
                <w:szCs w:val="24"/>
              </w:rPr>
              <w:t>指标</w:t>
            </w:r>
          </w:p>
        </w:tc>
        <w:tc>
          <w:tcPr>
            <w:tcW w:w="446" w:type="pct"/>
            <w:vAlign w:val="center"/>
          </w:tcPr>
          <w:p>
            <w:pPr>
              <w:adjustRightInd w:val="0"/>
              <w:snapToGrid w:val="0"/>
              <w:jc w:val="center"/>
              <w:rPr>
                <w:rFonts w:ascii="Times New Roman" w:hAnsi="Times New Roman" w:eastAsia="仿宋_GB2312"/>
                <w:b/>
                <w:sz w:val="24"/>
                <w:szCs w:val="24"/>
              </w:rPr>
            </w:pPr>
            <w:r>
              <w:rPr>
                <w:rFonts w:ascii="Times New Roman" w:hAnsi="Times New Roman" w:eastAsia="仿宋_GB2312"/>
                <w:b/>
                <w:sz w:val="24"/>
                <w:szCs w:val="24"/>
              </w:rPr>
              <w:t>单位</w:t>
            </w:r>
          </w:p>
        </w:tc>
        <w:tc>
          <w:tcPr>
            <w:tcW w:w="518" w:type="pct"/>
            <w:vAlign w:val="center"/>
          </w:tcPr>
          <w:p>
            <w:pPr>
              <w:adjustRightInd w:val="0"/>
              <w:snapToGrid w:val="0"/>
              <w:jc w:val="center"/>
              <w:rPr>
                <w:rFonts w:ascii="Times New Roman" w:hAnsi="Times New Roman" w:eastAsia="仿宋_GB2312"/>
                <w:b/>
                <w:sz w:val="24"/>
                <w:szCs w:val="24"/>
              </w:rPr>
            </w:pPr>
            <w:r>
              <w:rPr>
                <w:rFonts w:ascii="Times New Roman" w:hAnsi="Times New Roman" w:eastAsia="仿宋_GB2312"/>
                <w:b/>
                <w:sz w:val="24"/>
                <w:szCs w:val="24"/>
              </w:rPr>
              <w:t>2020级</w:t>
            </w:r>
          </w:p>
        </w:tc>
        <w:tc>
          <w:tcPr>
            <w:tcW w:w="518" w:type="pct"/>
            <w:vAlign w:val="center"/>
          </w:tcPr>
          <w:p>
            <w:pPr>
              <w:adjustRightInd w:val="0"/>
              <w:snapToGrid w:val="0"/>
              <w:jc w:val="center"/>
              <w:rPr>
                <w:rFonts w:ascii="Times New Roman" w:hAnsi="Times New Roman" w:eastAsia="仿宋_GB2312"/>
                <w:b/>
                <w:sz w:val="24"/>
                <w:szCs w:val="24"/>
              </w:rPr>
            </w:pPr>
            <w:r>
              <w:rPr>
                <w:rFonts w:ascii="Times New Roman" w:hAnsi="Times New Roman" w:eastAsia="仿宋_GB2312"/>
                <w:b/>
                <w:sz w:val="24"/>
                <w:szCs w:val="24"/>
              </w:rPr>
              <w:t>2021级</w:t>
            </w:r>
          </w:p>
        </w:tc>
        <w:tc>
          <w:tcPr>
            <w:tcW w:w="665" w:type="pct"/>
            <w:vAlign w:val="center"/>
          </w:tcPr>
          <w:p>
            <w:pPr>
              <w:spacing w:line="288" w:lineRule="auto"/>
              <w:jc w:val="center"/>
              <w:rPr>
                <w:rFonts w:ascii="Times New Roman" w:hAnsi="Times New Roman" w:eastAsia="仿宋_GB2312"/>
                <w:b/>
                <w:sz w:val="24"/>
                <w:szCs w:val="24"/>
              </w:rPr>
            </w:pPr>
            <w:r>
              <w:rPr>
                <w:rFonts w:ascii="Times New Roman" w:hAnsi="Times New Roman" w:eastAsia="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tcPr>
          <w:p>
            <w:pPr>
              <w:spacing w:line="288" w:lineRule="auto"/>
              <w:jc w:val="center"/>
              <w:rPr>
                <w:rFonts w:ascii="Times New Roman" w:hAnsi="Times New Roman" w:eastAsia="仿宋_GB2312"/>
                <w:sz w:val="24"/>
                <w:szCs w:val="24"/>
              </w:rPr>
            </w:pPr>
          </w:p>
        </w:tc>
        <w:tc>
          <w:tcPr>
            <w:tcW w:w="446" w:type="pct"/>
            <w:vMerge w:val="restart"/>
          </w:tcPr>
          <w:p>
            <w:pPr>
              <w:spacing w:line="288" w:lineRule="auto"/>
              <w:jc w:val="center"/>
              <w:rPr>
                <w:rFonts w:ascii="Times New Roman" w:hAnsi="Times New Roman" w:eastAsia="仿宋_GB2312"/>
                <w:sz w:val="24"/>
                <w:szCs w:val="24"/>
              </w:rPr>
            </w:pPr>
          </w:p>
        </w:tc>
        <w:tc>
          <w:tcPr>
            <w:tcW w:w="219" w:type="pct"/>
            <w:vAlign w:val="center"/>
          </w:tcPr>
          <w:p>
            <w:pPr>
              <w:spacing w:line="288" w:lineRule="auto"/>
              <w:jc w:val="center"/>
              <w:rPr>
                <w:rFonts w:ascii="Times New Roman" w:hAnsi="Times New Roman" w:eastAsia="仿宋_GB2312"/>
                <w:sz w:val="24"/>
                <w:szCs w:val="24"/>
              </w:rPr>
            </w:pPr>
            <w:r>
              <w:rPr>
                <w:rFonts w:ascii="Times New Roman" w:hAnsi="Times New Roman" w:eastAsia="仿宋_GB2312"/>
                <w:sz w:val="24"/>
                <w:szCs w:val="24"/>
              </w:rPr>
              <w:t>1</w:t>
            </w:r>
          </w:p>
        </w:tc>
        <w:tc>
          <w:tcPr>
            <w:tcW w:w="1791" w:type="pct"/>
            <w:gridSpan w:val="2"/>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全日制在校生人数</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人</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2</w:t>
            </w:r>
            <w:r>
              <w:rPr>
                <w:rFonts w:ascii="Times New Roman" w:hAnsi="Times New Roman" w:eastAsia="仿宋_GB2312"/>
                <w:sz w:val="24"/>
                <w:szCs w:val="24"/>
              </w:rPr>
              <w:t>036</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2</w:t>
            </w:r>
            <w:r>
              <w:rPr>
                <w:rFonts w:ascii="Times New Roman" w:hAnsi="Times New Roman" w:eastAsia="仿宋_GB2312"/>
                <w:sz w:val="24"/>
                <w:szCs w:val="24"/>
              </w:rPr>
              <w:t>584</w:t>
            </w:r>
          </w:p>
        </w:tc>
        <w:tc>
          <w:tcPr>
            <w:tcW w:w="665" w:type="pct"/>
          </w:tcPr>
          <w:p>
            <w:pPr>
              <w:spacing w:line="288" w:lineRule="auto"/>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restart"/>
            <w:vAlign w:val="center"/>
          </w:tcPr>
          <w:p>
            <w:pPr>
              <w:spacing w:line="288" w:lineRule="auto"/>
              <w:jc w:val="center"/>
              <w:rPr>
                <w:rFonts w:ascii="Times New Roman" w:hAnsi="Times New Roman" w:eastAsia="仿宋_GB2312"/>
                <w:sz w:val="24"/>
                <w:szCs w:val="24"/>
              </w:rPr>
            </w:pPr>
            <w:r>
              <w:rPr>
                <w:rFonts w:ascii="Times New Roman" w:hAnsi="Times New Roman" w:eastAsia="仿宋_GB2312"/>
                <w:sz w:val="24"/>
                <w:szCs w:val="24"/>
              </w:rPr>
              <w:t>2</w:t>
            </w:r>
          </w:p>
        </w:tc>
        <w:tc>
          <w:tcPr>
            <w:tcW w:w="3939" w:type="pct"/>
            <w:gridSpan w:val="6"/>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 xml:space="preserve">教书育人满意度—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restar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（1）课堂</w:t>
            </w:r>
            <w:r>
              <w:rPr>
                <w:rFonts w:ascii="Times New Roman" w:hAnsi="Times New Roman" w:eastAsia="仿宋_GB2312"/>
                <w:kern w:val="0"/>
                <w:sz w:val="24"/>
                <w:szCs w:val="24"/>
              </w:rPr>
              <w:t>育</w:t>
            </w:r>
            <w:r>
              <w:rPr>
                <w:rFonts w:ascii="Times New Roman" w:hAnsi="Times New Roman" w:eastAsia="仿宋_GB2312"/>
                <w:sz w:val="24"/>
                <w:szCs w:val="24"/>
              </w:rPr>
              <w:t>人</w:t>
            </w: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调研人次</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人次</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3</w:t>
            </w:r>
            <w:r>
              <w:rPr>
                <w:rFonts w:ascii="Times New Roman" w:hAnsi="Times New Roman" w:eastAsia="仿宋_GB2312"/>
                <w:sz w:val="24"/>
                <w:szCs w:val="24"/>
              </w:rPr>
              <w:t>00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3</w:t>
            </w:r>
            <w:r>
              <w:rPr>
                <w:rFonts w:ascii="Times New Roman" w:hAnsi="Times New Roman" w:eastAsia="仿宋_GB2312"/>
                <w:sz w:val="24"/>
                <w:szCs w:val="24"/>
              </w:rPr>
              <w:t>00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continue"/>
            <w:vAlign w:val="center"/>
          </w:tcPr>
          <w:p>
            <w:pPr>
              <w:spacing w:line="288" w:lineRule="auto"/>
              <w:rPr>
                <w:rFonts w:ascii="Times New Roman" w:hAnsi="Times New Roman" w:eastAsia="仿宋_GB2312"/>
                <w:sz w:val="24"/>
                <w:szCs w:val="24"/>
              </w:rPr>
            </w:pP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满意度</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1</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restar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（2）课</w:t>
            </w:r>
            <w:r>
              <w:rPr>
                <w:rFonts w:ascii="Times New Roman" w:hAnsi="Times New Roman" w:eastAsia="仿宋_GB2312"/>
                <w:kern w:val="0"/>
                <w:sz w:val="24"/>
                <w:szCs w:val="24"/>
              </w:rPr>
              <w:t>外育</w:t>
            </w:r>
            <w:r>
              <w:rPr>
                <w:rFonts w:ascii="Times New Roman" w:hAnsi="Times New Roman" w:eastAsia="仿宋_GB2312"/>
                <w:sz w:val="24"/>
                <w:szCs w:val="24"/>
              </w:rPr>
              <w:t>人</w:t>
            </w: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调研人次</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人次</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2</w:t>
            </w:r>
            <w:r>
              <w:rPr>
                <w:rFonts w:ascii="Times New Roman" w:hAnsi="Times New Roman" w:eastAsia="仿宋_GB2312"/>
                <w:sz w:val="24"/>
                <w:szCs w:val="24"/>
              </w:rPr>
              <w:t>00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4</w:t>
            </w:r>
            <w:r>
              <w:rPr>
                <w:rFonts w:ascii="Times New Roman" w:hAnsi="Times New Roman" w:eastAsia="仿宋_GB2312"/>
                <w:sz w:val="24"/>
                <w:szCs w:val="24"/>
              </w:rPr>
              <w:t>00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continue"/>
            <w:vAlign w:val="center"/>
          </w:tcPr>
          <w:p>
            <w:pPr>
              <w:spacing w:line="288" w:lineRule="auto"/>
              <w:rPr>
                <w:rFonts w:ascii="Times New Roman" w:hAnsi="Times New Roman" w:eastAsia="仿宋_GB2312"/>
                <w:sz w:val="24"/>
                <w:szCs w:val="24"/>
              </w:rPr>
            </w:pP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满意度</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8</w:t>
            </w:r>
            <w:r>
              <w:rPr>
                <w:rFonts w:ascii="Times New Roman" w:hAnsi="Times New Roman" w:eastAsia="仿宋_GB2312"/>
                <w:sz w:val="24"/>
                <w:szCs w:val="24"/>
              </w:rPr>
              <w:t>8</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restart"/>
            <w:vAlign w:val="center"/>
          </w:tcPr>
          <w:p>
            <w:pPr>
              <w:spacing w:line="288" w:lineRule="auto"/>
              <w:jc w:val="center"/>
              <w:rPr>
                <w:rFonts w:ascii="Times New Roman" w:hAnsi="Times New Roman" w:eastAsia="仿宋_GB2312"/>
                <w:sz w:val="24"/>
                <w:szCs w:val="24"/>
              </w:rPr>
            </w:pPr>
            <w:r>
              <w:rPr>
                <w:rFonts w:ascii="Times New Roman" w:hAnsi="Times New Roman" w:eastAsia="仿宋_GB2312"/>
                <w:sz w:val="24"/>
                <w:szCs w:val="24"/>
              </w:rPr>
              <w:t>3</w:t>
            </w:r>
          </w:p>
        </w:tc>
        <w:tc>
          <w:tcPr>
            <w:tcW w:w="3939" w:type="pct"/>
            <w:gridSpan w:val="6"/>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 xml:space="preserve">课程教学满意度—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restar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（1）思想政治课</w:t>
            </w:r>
            <w:r>
              <w:rPr>
                <w:rFonts w:hint="eastAsia" w:ascii="Times New Roman" w:hAnsi="Times New Roman" w:eastAsia="仿宋_GB2312"/>
                <w:sz w:val="24"/>
                <w:szCs w:val="24"/>
              </w:rPr>
              <w:t>教学</w:t>
            </w: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调研课次</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课次</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7</w:t>
            </w:r>
            <w:r>
              <w:rPr>
                <w:rFonts w:ascii="Times New Roman" w:hAnsi="Times New Roman" w:eastAsia="仿宋_GB2312"/>
                <w:sz w:val="24"/>
                <w:szCs w:val="24"/>
              </w:rPr>
              <w:t>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8</w:t>
            </w:r>
            <w:r>
              <w:rPr>
                <w:rFonts w:ascii="Times New Roman" w:hAnsi="Times New Roman" w:eastAsia="仿宋_GB2312"/>
                <w:sz w:val="24"/>
                <w:szCs w:val="24"/>
              </w:rPr>
              <w:t>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continue"/>
            <w:vAlign w:val="center"/>
          </w:tcPr>
          <w:p>
            <w:pPr>
              <w:spacing w:line="288" w:lineRule="auto"/>
              <w:rPr>
                <w:rFonts w:ascii="Times New Roman" w:hAnsi="Times New Roman" w:eastAsia="仿宋_GB2312"/>
                <w:sz w:val="24"/>
                <w:szCs w:val="24"/>
              </w:rPr>
            </w:pP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满意度</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8</w:t>
            </w:r>
            <w:r>
              <w:rPr>
                <w:rFonts w:ascii="Times New Roman" w:hAnsi="Times New Roman" w:eastAsia="仿宋_GB2312"/>
                <w:sz w:val="24"/>
                <w:szCs w:val="24"/>
              </w:rPr>
              <w:t>8</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8</w:t>
            </w:r>
            <w:r>
              <w:rPr>
                <w:rFonts w:ascii="Times New Roman" w:hAnsi="Times New Roman" w:eastAsia="仿宋_GB2312"/>
                <w:sz w:val="24"/>
                <w:szCs w:val="24"/>
              </w:rPr>
              <w:t>9</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restart"/>
            <w:vAlign w:val="center"/>
          </w:tcPr>
          <w:p>
            <w:pPr>
              <w:spacing w:line="288" w:lineRule="auto"/>
              <w:rPr>
                <w:rFonts w:ascii="Times New Roman" w:hAnsi="Times New Roman" w:eastAsia="仿宋_GB2312"/>
                <w:spacing w:val="-20"/>
                <w:sz w:val="24"/>
                <w:szCs w:val="24"/>
              </w:rPr>
            </w:pPr>
            <w:r>
              <w:rPr>
                <w:rFonts w:ascii="Times New Roman" w:hAnsi="Times New Roman" w:eastAsia="仿宋_GB2312"/>
                <w:spacing w:val="-20"/>
                <w:sz w:val="24"/>
                <w:szCs w:val="24"/>
              </w:rPr>
              <w:t>（2）公共基础课</w:t>
            </w:r>
            <w:r>
              <w:rPr>
                <w:rFonts w:ascii="Times New Roman" w:hAnsi="Times New Roman" w:eastAsia="仿宋_GB2312"/>
                <w:spacing w:val="-20"/>
                <w:w w:val="96"/>
                <w:sz w:val="24"/>
                <w:szCs w:val="24"/>
              </w:rPr>
              <w:t>（不含思想政治课）</w:t>
            </w: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调研课次</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课次</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7</w:t>
            </w:r>
            <w:r>
              <w:rPr>
                <w:rFonts w:ascii="Times New Roman" w:hAnsi="Times New Roman" w:eastAsia="仿宋_GB2312"/>
                <w:sz w:val="24"/>
                <w:szCs w:val="24"/>
              </w:rPr>
              <w:t>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8</w:t>
            </w:r>
            <w:r>
              <w:rPr>
                <w:rFonts w:ascii="Times New Roman" w:hAnsi="Times New Roman" w:eastAsia="仿宋_GB2312"/>
                <w:sz w:val="24"/>
                <w:szCs w:val="24"/>
              </w:rPr>
              <w:t>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continue"/>
            <w:vAlign w:val="center"/>
          </w:tcPr>
          <w:p>
            <w:pPr>
              <w:spacing w:line="288" w:lineRule="auto"/>
              <w:rPr>
                <w:rFonts w:ascii="Times New Roman" w:hAnsi="Times New Roman" w:eastAsia="仿宋_GB2312"/>
                <w:sz w:val="24"/>
                <w:szCs w:val="24"/>
              </w:rPr>
            </w:pP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满意度</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8</w:t>
            </w:r>
            <w:r>
              <w:rPr>
                <w:rFonts w:ascii="Times New Roman" w:hAnsi="Times New Roman" w:eastAsia="仿宋_GB2312"/>
                <w:sz w:val="24"/>
                <w:szCs w:val="24"/>
              </w:rPr>
              <w:t>7</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8</w:t>
            </w:r>
            <w:r>
              <w:rPr>
                <w:rFonts w:ascii="Times New Roman" w:hAnsi="Times New Roman" w:eastAsia="仿宋_GB2312"/>
                <w:sz w:val="24"/>
                <w:szCs w:val="24"/>
              </w:rPr>
              <w:t>8</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restar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（3）专业课</w:t>
            </w:r>
            <w:r>
              <w:rPr>
                <w:rFonts w:ascii="Times New Roman" w:hAnsi="Times New Roman" w:eastAsia="仿宋_GB2312"/>
                <w:spacing w:val="-20"/>
                <w:w w:val="96"/>
                <w:sz w:val="24"/>
                <w:szCs w:val="24"/>
              </w:rPr>
              <w:t>教学</w:t>
            </w: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调研课次</w:t>
            </w:r>
          </w:p>
        </w:tc>
        <w:tc>
          <w:tcPr>
            <w:tcW w:w="446" w:type="pct"/>
            <w:vAlign w:val="center"/>
          </w:tcPr>
          <w:p>
            <w:pPr>
              <w:spacing w:line="288" w:lineRule="auto"/>
              <w:rPr>
                <w:rFonts w:ascii="Times New Roman" w:hAnsi="Times New Roman" w:eastAsia="仿宋_GB2312"/>
                <w:b/>
                <w:sz w:val="24"/>
                <w:szCs w:val="24"/>
              </w:rPr>
            </w:pPr>
            <w:r>
              <w:rPr>
                <w:rFonts w:ascii="Times New Roman" w:hAnsi="Times New Roman" w:eastAsia="仿宋_GB2312"/>
                <w:sz w:val="24"/>
                <w:szCs w:val="24"/>
              </w:rPr>
              <w:t>课次</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8</w:t>
            </w:r>
            <w:r>
              <w:rPr>
                <w:rFonts w:ascii="Times New Roman" w:hAnsi="Times New Roman" w:eastAsia="仿宋_GB2312"/>
                <w:sz w:val="24"/>
                <w:szCs w:val="24"/>
              </w:rPr>
              <w:t>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continue"/>
            <w:vAlign w:val="center"/>
          </w:tcPr>
          <w:p>
            <w:pPr>
              <w:spacing w:line="288" w:lineRule="auto"/>
              <w:rPr>
                <w:rFonts w:ascii="Times New Roman" w:hAnsi="Times New Roman" w:eastAsia="仿宋_GB2312"/>
                <w:sz w:val="24"/>
                <w:szCs w:val="24"/>
              </w:rPr>
            </w:pP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满意度</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2</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3</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restart"/>
            <w:vAlign w:val="center"/>
          </w:tcPr>
          <w:p>
            <w:pPr>
              <w:spacing w:line="288" w:lineRule="auto"/>
              <w:jc w:val="center"/>
              <w:rPr>
                <w:rFonts w:ascii="Times New Roman" w:hAnsi="Times New Roman" w:eastAsia="仿宋_GB2312"/>
                <w:sz w:val="24"/>
                <w:szCs w:val="24"/>
              </w:rPr>
            </w:pPr>
            <w:r>
              <w:rPr>
                <w:rFonts w:ascii="Times New Roman" w:hAnsi="Times New Roman" w:eastAsia="仿宋_GB2312"/>
                <w:sz w:val="24"/>
                <w:szCs w:val="24"/>
              </w:rPr>
              <w:t>4</w:t>
            </w:r>
          </w:p>
        </w:tc>
        <w:tc>
          <w:tcPr>
            <w:tcW w:w="3939" w:type="pct"/>
            <w:gridSpan w:val="6"/>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 xml:space="preserve">管理和服务工作满意度—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restar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（1）学生工作</w:t>
            </w: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调研人次</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人次</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3</w:t>
            </w:r>
            <w:r>
              <w:rPr>
                <w:rFonts w:ascii="Times New Roman" w:hAnsi="Times New Roman" w:eastAsia="仿宋_GB2312"/>
                <w:sz w:val="24"/>
                <w:szCs w:val="24"/>
              </w:rPr>
              <w:t>00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3</w:t>
            </w:r>
            <w:r>
              <w:rPr>
                <w:rFonts w:ascii="Times New Roman" w:hAnsi="Times New Roman" w:eastAsia="仿宋_GB2312"/>
                <w:sz w:val="24"/>
                <w:szCs w:val="24"/>
              </w:rPr>
              <w:t>00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continue"/>
            <w:vAlign w:val="center"/>
          </w:tcPr>
          <w:p>
            <w:pPr>
              <w:spacing w:line="288" w:lineRule="auto"/>
              <w:rPr>
                <w:rFonts w:ascii="Times New Roman" w:hAnsi="Times New Roman" w:eastAsia="仿宋_GB2312"/>
                <w:sz w:val="24"/>
                <w:szCs w:val="24"/>
              </w:rPr>
            </w:pP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满意度</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restar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（2）教学管理</w:t>
            </w: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调研人次</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人次</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2</w:t>
            </w:r>
            <w:r>
              <w:rPr>
                <w:rFonts w:ascii="Times New Roman" w:hAnsi="Times New Roman" w:eastAsia="仿宋_GB2312"/>
                <w:sz w:val="24"/>
                <w:szCs w:val="24"/>
              </w:rPr>
              <w:t>00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4</w:t>
            </w:r>
            <w:r>
              <w:rPr>
                <w:rFonts w:ascii="Times New Roman" w:hAnsi="Times New Roman" w:eastAsia="仿宋_GB2312"/>
                <w:sz w:val="24"/>
                <w:szCs w:val="24"/>
              </w:rPr>
              <w:t>00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continue"/>
            <w:vAlign w:val="center"/>
          </w:tcPr>
          <w:p>
            <w:pPr>
              <w:spacing w:line="288" w:lineRule="auto"/>
              <w:rPr>
                <w:rFonts w:ascii="Times New Roman" w:hAnsi="Times New Roman" w:eastAsia="仿宋_GB2312"/>
                <w:sz w:val="24"/>
                <w:szCs w:val="24"/>
              </w:rPr>
            </w:pP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满意度</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1</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restar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（3）后勤服务</w:t>
            </w: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调研人次</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人次</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3</w:t>
            </w:r>
            <w:r>
              <w:rPr>
                <w:rFonts w:ascii="Times New Roman" w:hAnsi="Times New Roman" w:eastAsia="仿宋_GB2312"/>
                <w:sz w:val="24"/>
                <w:szCs w:val="24"/>
              </w:rPr>
              <w:t>00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3</w:t>
            </w:r>
            <w:r>
              <w:rPr>
                <w:rFonts w:ascii="Times New Roman" w:hAnsi="Times New Roman" w:eastAsia="仿宋_GB2312"/>
                <w:sz w:val="24"/>
                <w:szCs w:val="24"/>
              </w:rPr>
              <w:t>00</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continue"/>
            <w:vAlign w:val="center"/>
          </w:tcPr>
          <w:p>
            <w:pPr>
              <w:spacing w:line="288" w:lineRule="auto"/>
              <w:jc w:val="center"/>
              <w:rPr>
                <w:rFonts w:ascii="Times New Roman" w:hAnsi="Times New Roman" w:eastAsia="仿宋_GB2312"/>
                <w:sz w:val="24"/>
                <w:szCs w:val="24"/>
              </w:rPr>
            </w:pPr>
          </w:p>
        </w:tc>
        <w:tc>
          <w:tcPr>
            <w:tcW w:w="1041" w:type="pct"/>
            <w:vMerge w:val="continue"/>
            <w:vAlign w:val="center"/>
          </w:tcPr>
          <w:p>
            <w:pPr>
              <w:spacing w:line="288" w:lineRule="auto"/>
              <w:rPr>
                <w:rFonts w:ascii="Times New Roman" w:hAnsi="Times New Roman" w:eastAsia="仿宋_GB2312"/>
                <w:sz w:val="24"/>
                <w:szCs w:val="24"/>
              </w:rPr>
            </w:pPr>
          </w:p>
        </w:tc>
        <w:tc>
          <w:tcPr>
            <w:tcW w:w="750"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满意度</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9</w:t>
            </w:r>
            <w:r>
              <w:rPr>
                <w:rFonts w:ascii="Times New Roman" w:hAnsi="Times New Roman" w:eastAsia="仿宋_GB2312"/>
                <w:sz w:val="24"/>
                <w:szCs w:val="24"/>
              </w:rPr>
              <w:t>0</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8</w:t>
            </w:r>
            <w:r>
              <w:rPr>
                <w:rFonts w:ascii="Times New Roman" w:hAnsi="Times New Roman" w:eastAsia="仿宋_GB2312"/>
                <w:sz w:val="24"/>
                <w:szCs w:val="24"/>
              </w:rPr>
              <w:t>8</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Align w:val="center"/>
          </w:tcPr>
          <w:p>
            <w:pPr>
              <w:spacing w:line="288" w:lineRule="auto"/>
              <w:jc w:val="center"/>
              <w:rPr>
                <w:rFonts w:ascii="Times New Roman" w:hAnsi="Times New Roman" w:eastAsia="仿宋_GB2312"/>
                <w:sz w:val="24"/>
                <w:szCs w:val="24"/>
              </w:rPr>
            </w:pPr>
            <w:r>
              <w:rPr>
                <w:rFonts w:ascii="Times New Roman" w:hAnsi="Times New Roman" w:eastAsia="仿宋_GB2312"/>
                <w:sz w:val="24"/>
                <w:szCs w:val="24"/>
              </w:rPr>
              <w:t>5</w:t>
            </w:r>
          </w:p>
        </w:tc>
        <w:tc>
          <w:tcPr>
            <w:tcW w:w="1791" w:type="pct"/>
            <w:gridSpan w:val="2"/>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学生参与志愿者活动时间</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人日</w:t>
            </w:r>
          </w:p>
        </w:tc>
        <w:tc>
          <w:tcPr>
            <w:tcW w:w="518" w:type="pct"/>
            <w:vAlign w:val="center"/>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1</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1</w:t>
            </w:r>
          </w:p>
        </w:tc>
        <w:tc>
          <w:tcPr>
            <w:tcW w:w="665" w:type="pct"/>
          </w:tcPr>
          <w:p>
            <w:pPr>
              <w:spacing w:line="288" w:lineRule="auto"/>
              <w:rPr>
                <w:rFonts w:ascii="Times New Roman" w:hAnsi="Times New Roman" w:eastAsia="仿宋_GB2312"/>
                <w:sz w:val="24"/>
                <w:szCs w:val="24"/>
              </w:rPr>
            </w:pPr>
            <w:r>
              <w:rPr>
                <w:rFonts w:ascii="Times New Roman" w:hAnsi="Times New Roman" w:eastAsia="仿宋_GB2312"/>
                <w:sz w:val="24"/>
                <w:szCs w:val="24"/>
              </w:rPr>
              <w:t>学校填报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jc w:val="center"/>
              <w:rPr>
                <w:rFonts w:ascii="Times New Roman" w:hAnsi="Times New Roman" w:eastAsia="仿宋_GB2312"/>
                <w:sz w:val="24"/>
                <w:szCs w:val="24"/>
              </w:rPr>
            </w:pPr>
          </w:p>
        </w:tc>
        <w:tc>
          <w:tcPr>
            <w:tcW w:w="446" w:type="pct"/>
            <w:vMerge w:val="continue"/>
          </w:tcPr>
          <w:p>
            <w:pPr>
              <w:spacing w:line="288" w:lineRule="auto"/>
              <w:jc w:val="center"/>
              <w:rPr>
                <w:rFonts w:ascii="Times New Roman" w:hAnsi="Times New Roman" w:eastAsia="仿宋_GB2312"/>
                <w:sz w:val="24"/>
                <w:szCs w:val="24"/>
              </w:rPr>
            </w:pPr>
          </w:p>
        </w:tc>
        <w:tc>
          <w:tcPr>
            <w:tcW w:w="219" w:type="pct"/>
            <w:vMerge w:val="restart"/>
            <w:vAlign w:val="center"/>
          </w:tcPr>
          <w:p>
            <w:pPr>
              <w:spacing w:line="288" w:lineRule="auto"/>
              <w:jc w:val="center"/>
              <w:rPr>
                <w:rFonts w:ascii="Times New Roman" w:hAnsi="Times New Roman" w:eastAsia="仿宋_GB2312"/>
                <w:sz w:val="24"/>
                <w:szCs w:val="24"/>
              </w:rPr>
            </w:pPr>
            <w:r>
              <w:rPr>
                <w:rFonts w:ascii="Times New Roman" w:hAnsi="Times New Roman" w:eastAsia="仿宋_GB2312"/>
                <w:sz w:val="24"/>
                <w:szCs w:val="24"/>
              </w:rPr>
              <w:t>6</w:t>
            </w:r>
          </w:p>
        </w:tc>
        <w:tc>
          <w:tcPr>
            <w:tcW w:w="3939" w:type="pct"/>
            <w:gridSpan w:val="6"/>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 xml:space="preserve">学生社团参与度—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rPr>
                <w:rFonts w:ascii="Times New Roman" w:hAnsi="Times New Roman" w:eastAsia="仿宋_GB2312"/>
                <w:sz w:val="24"/>
                <w:szCs w:val="24"/>
              </w:rPr>
            </w:pPr>
          </w:p>
        </w:tc>
        <w:tc>
          <w:tcPr>
            <w:tcW w:w="446" w:type="pct"/>
            <w:vMerge w:val="continue"/>
          </w:tcPr>
          <w:p>
            <w:pPr>
              <w:spacing w:line="288" w:lineRule="auto"/>
              <w:rPr>
                <w:rFonts w:ascii="Times New Roman" w:hAnsi="Times New Roman" w:eastAsia="仿宋_GB2312"/>
                <w:sz w:val="24"/>
                <w:szCs w:val="24"/>
              </w:rPr>
            </w:pPr>
          </w:p>
        </w:tc>
        <w:tc>
          <w:tcPr>
            <w:tcW w:w="219" w:type="pct"/>
            <w:vMerge w:val="continue"/>
          </w:tcPr>
          <w:p>
            <w:pPr>
              <w:spacing w:line="288" w:lineRule="auto"/>
              <w:rPr>
                <w:rFonts w:ascii="Times New Roman" w:hAnsi="Times New Roman" w:eastAsia="仿宋_GB2312"/>
                <w:sz w:val="24"/>
                <w:szCs w:val="24"/>
              </w:rPr>
            </w:pPr>
          </w:p>
        </w:tc>
        <w:tc>
          <w:tcPr>
            <w:tcW w:w="1791" w:type="pct"/>
            <w:gridSpan w:val="2"/>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（1）学生社团数</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个</w:t>
            </w:r>
          </w:p>
        </w:tc>
        <w:tc>
          <w:tcPr>
            <w:tcW w:w="518" w:type="pct"/>
            <w:vAlign w:val="center"/>
          </w:tcPr>
          <w:p>
            <w:pPr>
              <w:spacing w:line="288" w:lineRule="auto"/>
              <w:rPr>
                <w:rFonts w:ascii="Times New Roman" w:hAnsi="Times New Roman" w:eastAsia="仿宋_GB2312"/>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szCs w:val="24"/>
                <w14:textFill>
                  <w14:solidFill>
                    <w14:schemeClr w14:val="tx1"/>
                  </w14:solidFill>
                </w14:textFill>
              </w:rPr>
              <w:t>2</w:t>
            </w:r>
            <w:r>
              <w:rPr>
                <w:rFonts w:ascii="Times New Roman" w:hAnsi="Times New Roman" w:eastAsia="仿宋_GB2312"/>
                <w:color w:val="000000" w:themeColor="text1"/>
                <w:sz w:val="24"/>
                <w:szCs w:val="24"/>
                <w14:textFill>
                  <w14:solidFill>
                    <w14:schemeClr w14:val="tx1"/>
                  </w14:solidFill>
                </w14:textFill>
              </w:rPr>
              <w:t>9</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3</w:t>
            </w:r>
            <w:r>
              <w:rPr>
                <w:rFonts w:ascii="Times New Roman" w:hAnsi="Times New Roman" w:eastAsia="仿宋_GB2312"/>
                <w:sz w:val="24"/>
                <w:szCs w:val="24"/>
              </w:rPr>
              <w:t>5</w:t>
            </w:r>
          </w:p>
        </w:tc>
        <w:tc>
          <w:tcPr>
            <w:tcW w:w="665" w:type="pct"/>
          </w:tcPr>
          <w:p>
            <w:pPr>
              <w:spacing w:line="288" w:lineRule="auto"/>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tcPr>
          <w:p>
            <w:pPr>
              <w:spacing w:line="288" w:lineRule="auto"/>
              <w:rPr>
                <w:rFonts w:ascii="Times New Roman" w:hAnsi="Times New Roman" w:eastAsia="仿宋_GB2312"/>
                <w:sz w:val="24"/>
                <w:szCs w:val="24"/>
              </w:rPr>
            </w:pPr>
          </w:p>
        </w:tc>
        <w:tc>
          <w:tcPr>
            <w:tcW w:w="446" w:type="pct"/>
            <w:vMerge w:val="continue"/>
          </w:tcPr>
          <w:p>
            <w:pPr>
              <w:spacing w:line="288" w:lineRule="auto"/>
              <w:rPr>
                <w:rFonts w:ascii="Times New Roman" w:hAnsi="Times New Roman" w:eastAsia="仿宋_GB2312"/>
                <w:sz w:val="24"/>
                <w:szCs w:val="24"/>
              </w:rPr>
            </w:pPr>
          </w:p>
        </w:tc>
        <w:tc>
          <w:tcPr>
            <w:tcW w:w="219" w:type="pct"/>
            <w:vMerge w:val="continue"/>
          </w:tcPr>
          <w:p>
            <w:pPr>
              <w:spacing w:line="288" w:lineRule="auto"/>
              <w:rPr>
                <w:rFonts w:ascii="Times New Roman" w:hAnsi="Times New Roman" w:eastAsia="仿宋_GB2312"/>
                <w:sz w:val="24"/>
                <w:szCs w:val="24"/>
              </w:rPr>
            </w:pPr>
          </w:p>
        </w:tc>
        <w:tc>
          <w:tcPr>
            <w:tcW w:w="1791" w:type="pct"/>
            <w:gridSpan w:val="2"/>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（2）参与各社团的学生人数</w:t>
            </w:r>
          </w:p>
        </w:tc>
        <w:tc>
          <w:tcPr>
            <w:tcW w:w="446" w:type="pct"/>
            <w:vAlign w:val="center"/>
          </w:tcPr>
          <w:p>
            <w:pPr>
              <w:spacing w:line="288" w:lineRule="auto"/>
              <w:rPr>
                <w:rFonts w:ascii="Times New Roman" w:hAnsi="Times New Roman" w:eastAsia="仿宋_GB2312"/>
                <w:sz w:val="24"/>
                <w:szCs w:val="24"/>
              </w:rPr>
            </w:pPr>
            <w:r>
              <w:rPr>
                <w:rFonts w:ascii="Times New Roman" w:hAnsi="Times New Roman" w:eastAsia="仿宋_GB2312"/>
                <w:sz w:val="24"/>
                <w:szCs w:val="24"/>
              </w:rPr>
              <w:t>人</w:t>
            </w:r>
          </w:p>
        </w:tc>
        <w:tc>
          <w:tcPr>
            <w:tcW w:w="518" w:type="pct"/>
            <w:vAlign w:val="center"/>
          </w:tcPr>
          <w:p>
            <w:pPr>
              <w:spacing w:line="288" w:lineRule="auto"/>
              <w:rPr>
                <w:rFonts w:ascii="Times New Roman" w:hAnsi="Times New Roman" w:eastAsia="仿宋_GB2312"/>
                <w:color w:val="000000" w:themeColor="text1"/>
                <w:sz w:val="24"/>
                <w:szCs w:val="24"/>
                <w14:textFill>
                  <w14:solidFill>
                    <w14:schemeClr w14:val="tx1"/>
                  </w14:solidFill>
                </w14:textFill>
              </w:rPr>
            </w:pPr>
            <w:r>
              <w:rPr>
                <w:rFonts w:hint="eastAsia" w:ascii="Times New Roman" w:hAnsi="Times New Roman" w:eastAsia="仿宋_GB2312"/>
                <w:color w:val="000000" w:themeColor="text1"/>
                <w:sz w:val="24"/>
                <w:szCs w:val="24"/>
                <w14:textFill>
                  <w14:solidFill>
                    <w14:schemeClr w14:val="tx1"/>
                  </w14:solidFill>
                </w14:textFill>
              </w:rPr>
              <w:t>6</w:t>
            </w:r>
            <w:r>
              <w:rPr>
                <w:rFonts w:ascii="Times New Roman" w:hAnsi="Times New Roman" w:eastAsia="仿宋_GB2312"/>
                <w:color w:val="000000" w:themeColor="text1"/>
                <w:sz w:val="24"/>
                <w:szCs w:val="24"/>
                <w14:textFill>
                  <w14:solidFill>
                    <w14:schemeClr w14:val="tx1"/>
                  </w14:solidFill>
                </w14:textFill>
              </w:rPr>
              <w:t>31</w:t>
            </w:r>
          </w:p>
        </w:tc>
        <w:tc>
          <w:tcPr>
            <w:tcW w:w="518" w:type="pct"/>
          </w:tcPr>
          <w:p>
            <w:pPr>
              <w:spacing w:line="288" w:lineRule="auto"/>
              <w:rPr>
                <w:rFonts w:ascii="Times New Roman" w:hAnsi="Times New Roman" w:eastAsia="仿宋_GB2312"/>
                <w:sz w:val="24"/>
                <w:szCs w:val="24"/>
              </w:rPr>
            </w:pPr>
            <w:r>
              <w:rPr>
                <w:rFonts w:hint="eastAsia" w:ascii="Times New Roman" w:hAnsi="Times New Roman" w:eastAsia="仿宋_GB2312"/>
                <w:sz w:val="24"/>
                <w:szCs w:val="24"/>
              </w:rPr>
              <w:t>1</w:t>
            </w:r>
            <w:r>
              <w:rPr>
                <w:rFonts w:ascii="Times New Roman" w:hAnsi="Times New Roman" w:eastAsia="仿宋_GB2312"/>
                <w:sz w:val="24"/>
                <w:szCs w:val="24"/>
              </w:rPr>
              <w:t>016</w:t>
            </w:r>
          </w:p>
        </w:tc>
        <w:tc>
          <w:tcPr>
            <w:tcW w:w="665" w:type="pct"/>
          </w:tcPr>
          <w:p>
            <w:pPr>
              <w:spacing w:line="288" w:lineRule="auto"/>
              <w:rPr>
                <w:rFonts w:ascii="Times New Roman" w:hAnsi="Times New Roman" w:eastAsia="仿宋_GB2312"/>
                <w:sz w:val="24"/>
                <w:szCs w:val="24"/>
              </w:rPr>
            </w:pPr>
          </w:p>
        </w:tc>
      </w:tr>
    </w:tbl>
    <w:p>
      <w:pPr>
        <w:jc w:val="right"/>
        <w:rPr>
          <w:rFonts w:hint="eastAsia" w:ascii="楷体" w:hAnsi="楷体" w:eastAsia="楷体"/>
          <w:sz w:val="24"/>
          <w:szCs w:val="24"/>
        </w:rPr>
      </w:pPr>
      <w:r>
        <w:rPr>
          <w:rFonts w:hint="eastAsia" w:ascii="楷体" w:hAnsi="楷体" w:eastAsia="楷体"/>
          <w:sz w:val="24"/>
          <w:szCs w:val="24"/>
        </w:rPr>
        <w:t>数据来源：湖南艺术职业学院学生工作处</w:t>
      </w:r>
    </w:p>
    <w:p>
      <w:pPr>
        <w:rPr>
          <w:rFonts w:ascii="楷体" w:hAnsi="楷体" w:eastAsia="楷体"/>
          <w:sz w:val="24"/>
          <w:szCs w:val="24"/>
        </w:rPr>
      </w:pPr>
      <w:r>
        <w:rPr>
          <w:rFonts w:hint="eastAsia" w:ascii="楷体" w:hAnsi="楷体" w:eastAsia="楷体"/>
          <w:sz w:val="24"/>
          <w:szCs w:val="24"/>
        </w:rPr>
        <w:t>附件：参与各学生社团人数（2020级）</w:t>
      </w:r>
    </w:p>
    <w:p>
      <w:pPr>
        <w:rPr>
          <w:rFonts w:hint="eastAsia" w:ascii="楷体" w:hAnsi="楷体" w:eastAsia="楷体"/>
          <w:sz w:val="24"/>
          <w:szCs w:val="24"/>
        </w:rPr>
      </w:pPr>
      <w:r>
        <w:rPr>
          <w:rFonts w:hint="eastAsia" w:ascii="楷体" w:hAnsi="楷体" w:eastAsia="楷体"/>
          <w:sz w:val="24"/>
          <w:szCs w:val="24"/>
        </w:rPr>
        <w:t xml:space="preserve">社团总人数：631人；后期社：30人；DoubleEF舞社：10人；摄影协会：30人；熊猫音乐社：90；电子竞技社：100人；Old Fogey滑板社：15人；MIS-SKY街舞社：60人；传奇轮滑协会：13人；一二斋汉服社：60；光学研究动漫社：13人；心理协会：18人；羽毛球社：6人；排球社：16人；健美啦啦操社团：0人：3D打印社：10人；竹编社：10人；研棋社：11人；武术社：2人；桌游社：5人；动物保护协会：5人；读书协会：10人；模特社：10人；Ttigger啦啦队社：16人；星空手绘社：17人；翰苑文学社：10人；艺苑英语沙龙社：14人；三心斋书法协会：17人；YOUNG RICH嘻哈社：12人；瑜伽社：11人；跑步协会：10人 </w:t>
      </w:r>
    </w:p>
    <w:p>
      <w:pPr>
        <w:rPr>
          <w:rFonts w:hint="eastAsia" w:ascii="楷体" w:hAnsi="楷体" w:eastAsia="楷体"/>
          <w:sz w:val="24"/>
          <w:szCs w:val="24"/>
        </w:rPr>
      </w:pPr>
      <w:r>
        <w:rPr>
          <w:rFonts w:ascii="楷体" w:hAnsi="楷体" w:eastAsia="楷体"/>
          <w:sz w:val="24"/>
          <w:szCs w:val="24"/>
        </w:rPr>
        <w:t>参与各学生社团人数（202</w:t>
      </w:r>
      <w:r>
        <w:rPr>
          <w:rFonts w:hint="eastAsia" w:ascii="楷体" w:hAnsi="楷体" w:eastAsia="楷体"/>
          <w:sz w:val="24"/>
          <w:szCs w:val="24"/>
        </w:rPr>
        <w:t>1</w:t>
      </w:r>
      <w:r>
        <w:rPr>
          <w:rFonts w:ascii="楷体" w:hAnsi="楷体" w:eastAsia="楷体"/>
          <w:sz w:val="24"/>
          <w:szCs w:val="24"/>
        </w:rPr>
        <w:t>级）</w:t>
      </w:r>
    </w:p>
    <w:p>
      <w:pPr>
        <w:rPr>
          <w:rFonts w:ascii="楷体" w:hAnsi="楷体" w:eastAsia="楷体"/>
          <w:sz w:val="24"/>
          <w:szCs w:val="24"/>
        </w:rPr>
      </w:pPr>
      <w:r>
        <w:rPr>
          <w:rFonts w:hint="eastAsia" w:ascii="楷体" w:hAnsi="楷体" w:eastAsia="楷体"/>
          <w:sz w:val="24"/>
          <w:szCs w:val="24"/>
        </w:rPr>
        <w:t>社团总人数：1016人；</w:t>
      </w:r>
      <w:r>
        <w:rPr>
          <w:rFonts w:ascii="楷体" w:hAnsi="楷体" w:eastAsia="楷体"/>
          <w:sz w:val="24"/>
          <w:szCs w:val="24"/>
        </w:rPr>
        <w:t>后期社</w:t>
      </w:r>
      <w:r>
        <w:rPr>
          <w:rFonts w:hint="eastAsia" w:ascii="楷体" w:hAnsi="楷体" w:eastAsia="楷体"/>
          <w:sz w:val="24"/>
          <w:szCs w:val="24"/>
        </w:rPr>
        <w:t>：25</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DoubleEF舞社</w:t>
      </w:r>
      <w:r>
        <w:rPr>
          <w:rFonts w:hint="eastAsia" w:ascii="楷体" w:hAnsi="楷体" w:eastAsia="楷体"/>
          <w:sz w:val="24"/>
          <w:szCs w:val="24"/>
        </w:rPr>
        <w:t>：20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摄影协会</w:t>
      </w:r>
      <w:r>
        <w:rPr>
          <w:rFonts w:hint="eastAsia" w:ascii="楷体" w:hAnsi="楷体" w:eastAsia="楷体"/>
          <w:sz w:val="24"/>
          <w:szCs w:val="24"/>
        </w:rPr>
        <w:t>：57</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熊猫音乐社</w:t>
      </w:r>
      <w:r>
        <w:rPr>
          <w:rFonts w:hint="eastAsia" w:ascii="楷体" w:hAnsi="楷体" w:eastAsia="楷体"/>
          <w:sz w:val="24"/>
          <w:szCs w:val="24"/>
        </w:rPr>
        <w:t>：70；</w:t>
      </w:r>
      <w:r>
        <w:rPr>
          <w:rFonts w:ascii="楷体" w:hAnsi="楷体" w:eastAsia="楷体"/>
          <w:sz w:val="24"/>
          <w:szCs w:val="24"/>
        </w:rPr>
        <w:t>电子竞技社</w:t>
      </w:r>
      <w:r>
        <w:rPr>
          <w:rFonts w:hint="eastAsia" w:ascii="楷体" w:hAnsi="楷体" w:eastAsia="楷体"/>
          <w:sz w:val="24"/>
          <w:szCs w:val="24"/>
        </w:rPr>
        <w:t>：50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Old Fogey滑板社</w:t>
      </w:r>
      <w:r>
        <w:rPr>
          <w:rFonts w:hint="eastAsia" w:ascii="楷体" w:hAnsi="楷体" w:eastAsia="楷体"/>
          <w:sz w:val="24"/>
          <w:szCs w:val="24"/>
        </w:rPr>
        <w:t>：70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MIS-SKY街舞社</w:t>
      </w:r>
      <w:r>
        <w:rPr>
          <w:rFonts w:hint="eastAsia" w:ascii="楷体" w:hAnsi="楷体" w:eastAsia="楷体"/>
          <w:sz w:val="24"/>
          <w:szCs w:val="24"/>
        </w:rPr>
        <w:t>：100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传奇轮滑协会</w:t>
      </w:r>
      <w:r>
        <w:rPr>
          <w:rFonts w:hint="eastAsia" w:ascii="楷体" w:hAnsi="楷体" w:eastAsia="楷体"/>
          <w:sz w:val="24"/>
          <w:szCs w:val="24"/>
        </w:rPr>
        <w:t>：32</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一二斋汉服社</w:t>
      </w:r>
      <w:r>
        <w:rPr>
          <w:rFonts w:hint="eastAsia" w:ascii="楷体" w:hAnsi="楷体" w:eastAsia="楷体"/>
          <w:sz w:val="24"/>
          <w:szCs w:val="24"/>
        </w:rPr>
        <w:t>：101；</w:t>
      </w:r>
      <w:r>
        <w:rPr>
          <w:rFonts w:ascii="楷体" w:hAnsi="楷体" w:eastAsia="楷体"/>
          <w:sz w:val="24"/>
          <w:szCs w:val="24"/>
        </w:rPr>
        <w:t>光学研究动漫社</w:t>
      </w:r>
      <w:r>
        <w:rPr>
          <w:rFonts w:hint="eastAsia" w:ascii="楷体" w:hAnsi="楷体" w:eastAsia="楷体"/>
          <w:sz w:val="24"/>
          <w:szCs w:val="24"/>
        </w:rPr>
        <w:t>：41</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心理协会</w:t>
      </w:r>
      <w:r>
        <w:rPr>
          <w:rFonts w:hint="eastAsia" w:ascii="楷体" w:hAnsi="楷体" w:eastAsia="楷体"/>
          <w:sz w:val="24"/>
          <w:szCs w:val="24"/>
        </w:rPr>
        <w:t>：50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羽毛球社</w:t>
      </w:r>
      <w:r>
        <w:rPr>
          <w:rFonts w:hint="eastAsia" w:ascii="楷体" w:hAnsi="楷体" w:eastAsia="楷体"/>
          <w:sz w:val="24"/>
          <w:szCs w:val="24"/>
        </w:rPr>
        <w:t>：20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排球社</w:t>
      </w:r>
      <w:r>
        <w:rPr>
          <w:rFonts w:hint="eastAsia" w:ascii="楷体" w:hAnsi="楷体" w:eastAsia="楷体"/>
          <w:sz w:val="24"/>
          <w:szCs w:val="24"/>
        </w:rPr>
        <w:t>：10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健美啦啦操社团</w:t>
      </w:r>
      <w:r>
        <w:rPr>
          <w:rFonts w:hint="eastAsia" w:ascii="楷体" w:hAnsi="楷体" w:eastAsia="楷体"/>
          <w:sz w:val="24"/>
          <w:szCs w:val="24"/>
        </w:rPr>
        <w:t>：29</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3D打印</w:t>
      </w:r>
      <w:r>
        <w:rPr>
          <w:rFonts w:hint="eastAsia" w:ascii="楷体" w:hAnsi="楷体" w:eastAsia="楷体"/>
          <w:sz w:val="24"/>
          <w:szCs w:val="24"/>
        </w:rPr>
        <w:t>：20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竹编社</w:t>
      </w:r>
      <w:r>
        <w:rPr>
          <w:rFonts w:hint="eastAsia" w:ascii="楷体" w:hAnsi="楷体" w:eastAsia="楷体"/>
          <w:sz w:val="24"/>
          <w:szCs w:val="24"/>
        </w:rPr>
        <w:t>：20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研棋社</w:t>
      </w:r>
      <w:r>
        <w:rPr>
          <w:rFonts w:hint="eastAsia" w:ascii="楷体" w:hAnsi="楷体" w:eastAsia="楷体"/>
          <w:sz w:val="24"/>
          <w:szCs w:val="24"/>
        </w:rPr>
        <w:t>：24</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武术社</w:t>
      </w:r>
      <w:r>
        <w:rPr>
          <w:rFonts w:hint="eastAsia" w:ascii="楷体" w:hAnsi="楷体" w:eastAsia="楷体"/>
          <w:sz w:val="24"/>
          <w:szCs w:val="24"/>
        </w:rPr>
        <w:t>：43</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桌游社</w:t>
      </w:r>
      <w:r>
        <w:rPr>
          <w:rFonts w:hint="eastAsia" w:ascii="楷体" w:hAnsi="楷体" w:eastAsia="楷体"/>
          <w:sz w:val="24"/>
          <w:szCs w:val="24"/>
        </w:rPr>
        <w:t>：20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动物保护协会</w:t>
      </w:r>
      <w:r>
        <w:rPr>
          <w:rFonts w:hint="eastAsia" w:ascii="楷体" w:hAnsi="楷体" w:eastAsia="楷体"/>
          <w:sz w:val="24"/>
          <w:szCs w:val="24"/>
        </w:rPr>
        <w:t>：15</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读书协会</w:t>
      </w:r>
      <w:r>
        <w:rPr>
          <w:rFonts w:hint="eastAsia" w:ascii="楷体" w:hAnsi="楷体" w:eastAsia="楷体"/>
          <w:sz w:val="24"/>
          <w:szCs w:val="24"/>
        </w:rPr>
        <w:t>：20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模特社</w:t>
      </w:r>
      <w:r>
        <w:rPr>
          <w:rFonts w:hint="eastAsia" w:ascii="楷体" w:hAnsi="楷体" w:eastAsia="楷体"/>
          <w:sz w:val="24"/>
          <w:szCs w:val="24"/>
        </w:rPr>
        <w:t>：50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Ttigger啦啦队社</w:t>
      </w:r>
      <w:r>
        <w:rPr>
          <w:rFonts w:hint="eastAsia" w:ascii="楷体" w:hAnsi="楷体" w:eastAsia="楷体"/>
          <w:sz w:val="24"/>
          <w:szCs w:val="24"/>
        </w:rPr>
        <w:t>：</w:t>
      </w:r>
      <w:r>
        <w:rPr>
          <w:rFonts w:ascii="楷体" w:hAnsi="楷体" w:eastAsia="楷体"/>
          <w:sz w:val="24"/>
          <w:szCs w:val="24"/>
        </w:rPr>
        <w:t>1</w:t>
      </w:r>
      <w:r>
        <w:rPr>
          <w:rFonts w:hint="eastAsia" w:ascii="楷体" w:hAnsi="楷体" w:eastAsia="楷体"/>
          <w:sz w:val="24"/>
          <w:szCs w:val="24"/>
        </w:rPr>
        <w:t>3</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星空手绘社</w:t>
      </w:r>
      <w:r>
        <w:rPr>
          <w:rFonts w:hint="eastAsia" w:ascii="楷体" w:hAnsi="楷体" w:eastAsia="楷体"/>
          <w:sz w:val="24"/>
          <w:szCs w:val="24"/>
        </w:rPr>
        <w:t>：8</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翰苑文学社</w:t>
      </w:r>
      <w:r>
        <w:rPr>
          <w:rFonts w:hint="eastAsia" w:ascii="楷体" w:hAnsi="楷体" w:eastAsia="楷体"/>
          <w:sz w:val="24"/>
          <w:szCs w:val="24"/>
        </w:rPr>
        <w:t>：25</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艺苑英语沙龙社</w:t>
      </w:r>
      <w:r>
        <w:rPr>
          <w:rFonts w:hint="eastAsia" w:ascii="楷体" w:hAnsi="楷体" w:eastAsia="楷体"/>
          <w:sz w:val="24"/>
          <w:szCs w:val="24"/>
        </w:rPr>
        <w:t>：</w:t>
      </w:r>
      <w:r>
        <w:rPr>
          <w:rFonts w:ascii="楷体" w:hAnsi="楷体" w:eastAsia="楷体"/>
          <w:sz w:val="24"/>
          <w:szCs w:val="24"/>
        </w:rPr>
        <w:t>14人</w:t>
      </w:r>
      <w:r>
        <w:rPr>
          <w:rFonts w:hint="eastAsia" w:ascii="楷体" w:hAnsi="楷体" w:eastAsia="楷体"/>
          <w:sz w:val="24"/>
          <w:szCs w:val="24"/>
        </w:rPr>
        <w:t>；</w:t>
      </w:r>
      <w:r>
        <w:rPr>
          <w:rFonts w:ascii="楷体" w:hAnsi="楷体" w:eastAsia="楷体"/>
          <w:sz w:val="24"/>
          <w:szCs w:val="24"/>
        </w:rPr>
        <w:t>三心斋书法协会</w:t>
      </w:r>
      <w:r>
        <w:rPr>
          <w:rFonts w:hint="eastAsia" w:ascii="楷体" w:hAnsi="楷体" w:eastAsia="楷体"/>
          <w:sz w:val="24"/>
          <w:szCs w:val="24"/>
        </w:rPr>
        <w:t>：</w:t>
      </w:r>
      <w:r>
        <w:rPr>
          <w:rFonts w:ascii="楷体" w:hAnsi="楷体" w:eastAsia="楷体"/>
          <w:sz w:val="24"/>
          <w:szCs w:val="24"/>
        </w:rPr>
        <w:t>1</w:t>
      </w:r>
      <w:r>
        <w:rPr>
          <w:rFonts w:hint="eastAsia" w:ascii="楷体" w:hAnsi="楷体" w:eastAsia="楷体"/>
          <w:sz w:val="24"/>
          <w:szCs w:val="24"/>
        </w:rPr>
        <w:t>9</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YOUNG RICH嘻哈社</w:t>
      </w:r>
      <w:r>
        <w:rPr>
          <w:rFonts w:hint="eastAsia" w:ascii="楷体" w:hAnsi="楷体" w:eastAsia="楷体"/>
          <w:sz w:val="24"/>
          <w:szCs w:val="24"/>
        </w:rPr>
        <w:t>：20</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瑜伽社</w:t>
      </w:r>
      <w:r>
        <w:rPr>
          <w:rFonts w:hint="eastAsia" w:ascii="楷体" w:hAnsi="楷体" w:eastAsia="楷体"/>
          <w:sz w:val="24"/>
          <w:szCs w:val="24"/>
        </w:rPr>
        <w:t>：</w:t>
      </w:r>
      <w:r>
        <w:rPr>
          <w:rFonts w:ascii="楷体" w:hAnsi="楷体" w:eastAsia="楷体"/>
          <w:sz w:val="24"/>
          <w:szCs w:val="24"/>
        </w:rPr>
        <w:t>1</w:t>
      </w:r>
      <w:r>
        <w:rPr>
          <w:rFonts w:hint="eastAsia" w:ascii="楷体" w:hAnsi="楷体" w:eastAsia="楷体"/>
          <w:sz w:val="24"/>
          <w:szCs w:val="24"/>
        </w:rPr>
        <w:t>8</w:t>
      </w:r>
      <w:r>
        <w:rPr>
          <w:rFonts w:ascii="楷体" w:hAnsi="楷体" w:eastAsia="楷体"/>
          <w:sz w:val="24"/>
          <w:szCs w:val="24"/>
        </w:rPr>
        <w:t>人</w:t>
      </w:r>
      <w:r>
        <w:rPr>
          <w:rFonts w:hint="eastAsia" w:ascii="楷体" w:hAnsi="楷体" w:eastAsia="楷体"/>
          <w:sz w:val="24"/>
          <w:szCs w:val="24"/>
        </w:rPr>
        <w:t>；</w:t>
      </w:r>
      <w:r>
        <w:rPr>
          <w:rFonts w:ascii="楷体" w:hAnsi="楷体" w:eastAsia="楷体"/>
          <w:sz w:val="24"/>
          <w:szCs w:val="24"/>
        </w:rPr>
        <w:t>跑步协会</w:t>
      </w:r>
      <w:r>
        <w:rPr>
          <w:rFonts w:hint="eastAsia" w:ascii="楷体" w:hAnsi="楷体" w:eastAsia="楷体"/>
          <w:sz w:val="24"/>
          <w:szCs w:val="24"/>
        </w:rPr>
        <w:t>：</w:t>
      </w:r>
      <w:r>
        <w:rPr>
          <w:rFonts w:ascii="楷体" w:hAnsi="楷体" w:eastAsia="楷体"/>
          <w:sz w:val="24"/>
          <w:szCs w:val="24"/>
        </w:rPr>
        <w:t>1</w:t>
      </w:r>
      <w:r>
        <w:rPr>
          <w:rFonts w:hint="eastAsia" w:ascii="楷体" w:hAnsi="楷体" w:eastAsia="楷体"/>
          <w:sz w:val="24"/>
          <w:szCs w:val="24"/>
        </w:rPr>
        <w:t>2</w:t>
      </w:r>
      <w:r>
        <w:rPr>
          <w:rFonts w:ascii="楷体" w:hAnsi="楷体" w:eastAsia="楷体"/>
          <w:sz w:val="24"/>
          <w:szCs w:val="24"/>
        </w:rPr>
        <w:t>人</w:t>
      </w:r>
    </w:p>
    <w:p>
      <w:pPr>
        <w:autoSpaceDE w:val="0"/>
        <w:autoSpaceDN w:val="0"/>
        <w:spacing w:before="190"/>
        <w:jc w:val="left"/>
        <w:rPr>
          <w:rFonts w:ascii="仿宋" w:hAnsi="仿宋"/>
          <w:szCs w:val="32"/>
        </w:rPr>
      </w:pPr>
    </w:p>
    <w:p>
      <w:pPr>
        <w:autoSpaceDE w:val="0"/>
        <w:autoSpaceDN w:val="0"/>
        <w:spacing w:before="190"/>
        <w:jc w:val="left"/>
        <w:rPr>
          <w:rFonts w:ascii="仿宋" w:hAnsi="仿宋"/>
          <w:szCs w:val="32"/>
        </w:rPr>
      </w:pPr>
    </w:p>
    <w:p>
      <w:pPr>
        <w:autoSpaceDE w:val="0"/>
        <w:autoSpaceDN w:val="0"/>
        <w:spacing w:before="190"/>
        <w:jc w:val="left"/>
        <w:rPr>
          <w:rFonts w:ascii="仿宋" w:hAnsi="仿宋"/>
          <w:szCs w:val="32"/>
        </w:rPr>
      </w:pPr>
    </w:p>
    <w:p>
      <w:pPr>
        <w:autoSpaceDE w:val="0"/>
        <w:autoSpaceDN w:val="0"/>
        <w:spacing w:before="190"/>
        <w:jc w:val="left"/>
        <w:rPr>
          <w:rFonts w:ascii="仿宋" w:hAnsi="仿宋"/>
          <w:szCs w:val="32"/>
        </w:rPr>
      </w:pPr>
    </w:p>
    <w:p>
      <w:pPr>
        <w:autoSpaceDE w:val="0"/>
        <w:autoSpaceDN w:val="0"/>
        <w:spacing w:before="190"/>
        <w:jc w:val="left"/>
        <w:rPr>
          <w:rFonts w:ascii="仿宋" w:hAnsi="仿宋"/>
          <w:szCs w:val="32"/>
        </w:rPr>
      </w:pPr>
    </w:p>
    <w:p>
      <w:pPr>
        <w:autoSpaceDE w:val="0"/>
        <w:autoSpaceDN w:val="0"/>
        <w:spacing w:before="190"/>
        <w:jc w:val="left"/>
        <w:rPr>
          <w:rFonts w:hint="eastAsia" w:ascii="仿宋" w:hAnsi="仿宋"/>
          <w:szCs w:val="32"/>
        </w:rPr>
      </w:pPr>
    </w:p>
    <w:p>
      <w:pPr>
        <w:pStyle w:val="2"/>
      </w:pPr>
      <w:bookmarkStart w:id="89" w:name="_Toc16621"/>
      <w:r>
        <w:rPr>
          <w:rFonts w:hint="eastAsia"/>
        </w:rPr>
        <w:t>表3  教学资源表</w:t>
      </w:r>
      <w:bookmarkEnd w:id="89"/>
    </w:p>
    <w:tbl>
      <w:tblPr>
        <w:tblStyle w:val="13"/>
        <w:tblW w:w="47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579"/>
        <w:gridCol w:w="1184"/>
        <w:gridCol w:w="1282"/>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87" w:type="pct"/>
            <w:noWrap/>
            <w:vAlign w:val="center"/>
          </w:tcPr>
          <w:p>
            <w:pPr>
              <w:widowControl/>
              <w:adjustRightInd w:val="0"/>
              <w:snapToGrid w:val="0"/>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序号</w:t>
            </w:r>
          </w:p>
        </w:tc>
        <w:tc>
          <w:tcPr>
            <w:tcW w:w="2234" w:type="pct"/>
            <w:noWrap/>
            <w:vAlign w:val="center"/>
          </w:tcPr>
          <w:p>
            <w:pPr>
              <w:widowControl/>
              <w:adjustRightInd w:val="0"/>
              <w:snapToGrid w:val="0"/>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指标</w:t>
            </w:r>
          </w:p>
        </w:tc>
        <w:tc>
          <w:tcPr>
            <w:tcW w:w="739" w:type="pct"/>
            <w:vAlign w:val="center"/>
          </w:tcPr>
          <w:p>
            <w:pPr>
              <w:widowControl/>
              <w:adjustRightInd w:val="0"/>
              <w:snapToGrid w:val="0"/>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单位</w:t>
            </w:r>
          </w:p>
        </w:tc>
        <w:tc>
          <w:tcPr>
            <w:tcW w:w="800" w:type="pct"/>
            <w:noWrap/>
            <w:vAlign w:val="center"/>
          </w:tcPr>
          <w:p>
            <w:pPr>
              <w:widowControl/>
              <w:adjustRightInd w:val="0"/>
              <w:snapToGrid w:val="0"/>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2020年</w:t>
            </w:r>
          </w:p>
        </w:tc>
        <w:tc>
          <w:tcPr>
            <w:tcW w:w="740" w:type="pct"/>
            <w:vAlign w:val="center"/>
          </w:tcPr>
          <w:p>
            <w:pPr>
              <w:widowControl/>
              <w:adjustRightInd w:val="0"/>
              <w:snapToGrid w:val="0"/>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7" w:type="pct"/>
            <w:noWrap/>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2234" w:type="pct"/>
            <w:noWrap/>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生师比</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800" w:type="pct"/>
            <w:noWrap/>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2.54</w:t>
            </w:r>
          </w:p>
        </w:tc>
        <w:tc>
          <w:tcPr>
            <w:tcW w:w="74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87" w:type="pct"/>
            <w:noWrap/>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2234" w:type="pct"/>
            <w:noWrap/>
            <w:vAlign w:val="center"/>
          </w:tcPr>
          <w:p>
            <w:pPr>
              <w:widowControl/>
              <w:adjustRightInd w:val="0"/>
              <w:snapToGrid w:val="0"/>
              <w:rPr>
                <w:rFonts w:ascii="Times New Roman" w:hAnsi="Times New Roman" w:eastAsia="仿宋_GB2312"/>
                <w:kern w:val="0"/>
                <w:sz w:val="24"/>
                <w:szCs w:val="24"/>
              </w:rPr>
            </w:pPr>
            <w:r>
              <w:rPr>
                <w:rFonts w:ascii="Times New Roman" w:hAnsi="Times New Roman" w:eastAsia="仿宋_GB2312"/>
                <w:kern w:val="0"/>
                <w:sz w:val="24"/>
                <w:szCs w:val="24"/>
              </w:rPr>
              <w:t>双师素质专任教师比例</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800" w:type="pct"/>
            <w:noWrap/>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7.59</w:t>
            </w:r>
          </w:p>
        </w:tc>
        <w:tc>
          <w:tcPr>
            <w:tcW w:w="74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r>
              <w:rPr>
                <w:rFonts w:ascii="Times New Roman" w:hAnsi="Times New Roman" w:eastAsia="仿宋_GB2312"/>
                <w:kern w:val="0"/>
                <w:sz w:val="24"/>
                <w:szCs w:val="24"/>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7" w:type="pct"/>
            <w:noWrap/>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2234" w:type="pct"/>
            <w:noWrap/>
            <w:vAlign w:val="center"/>
          </w:tcPr>
          <w:p>
            <w:pPr>
              <w:widowControl/>
              <w:adjustRightInd w:val="0"/>
              <w:snapToGrid w:val="0"/>
              <w:rPr>
                <w:rFonts w:ascii="Times New Roman" w:hAnsi="Times New Roman" w:eastAsia="仿宋_GB2312"/>
                <w:w w:val="96"/>
                <w:kern w:val="0"/>
                <w:sz w:val="24"/>
                <w:szCs w:val="24"/>
              </w:rPr>
            </w:pPr>
            <w:r>
              <w:rPr>
                <w:rFonts w:ascii="Times New Roman" w:hAnsi="Times New Roman" w:eastAsia="仿宋_GB2312"/>
                <w:w w:val="96"/>
                <w:kern w:val="0"/>
                <w:sz w:val="24"/>
                <w:szCs w:val="24"/>
              </w:rPr>
              <w:t>高级专业技术职务专任教师比例</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800" w:type="pct"/>
            <w:noWrap/>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1.19</w:t>
            </w:r>
          </w:p>
        </w:tc>
        <w:tc>
          <w:tcPr>
            <w:tcW w:w="74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87" w:type="pct"/>
            <w:vMerge w:val="restart"/>
            <w:noWrap/>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2234" w:type="pct"/>
            <w:noWrap/>
            <w:vAlign w:val="center"/>
          </w:tcPr>
          <w:p>
            <w:pPr>
              <w:widowControl/>
              <w:adjustRightInd w:val="0"/>
              <w:snapToGrid w:val="0"/>
              <w:rPr>
                <w:rFonts w:ascii="Times New Roman" w:hAnsi="Times New Roman" w:eastAsia="仿宋_GB2312"/>
                <w:strike/>
                <w:kern w:val="0"/>
                <w:sz w:val="24"/>
                <w:szCs w:val="24"/>
              </w:rPr>
            </w:pPr>
            <w:r>
              <w:rPr>
                <w:rFonts w:hint="eastAsia" w:ascii="Times New Roman" w:hAnsi="Times New Roman" w:eastAsia="仿宋_GB2312"/>
                <w:kern w:val="0"/>
                <w:sz w:val="24"/>
                <w:szCs w:val="24"/>
              </w:rPr>
              <w:t>教学计划内课程总数</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学时</w:t>
            </w:r>
          </w:p>
        </w:tc>
        <w:tc>
          <w:tcPr>
            <w:tcW w:w="800" w:type="pct"/>
            <w:noWrap/>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513</w:t>
            </w:r>
          </w:p>
        </w:tc>
        <w:tc>
          <w:tcPr>
            <w:tcW w:w="74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87" w:type="pct"/>
            <w:vMerge w:val="continue"/>
            <w:noWrap/>
            <w:vAlign w:val="center"/>
          </w:tcPr>
          <w:p>
            <w:pPr>
              <w:widowControl/>
              <w:adjustRightInd w:val="0"/>
              <w:snapToGrid w:val="0"/>
              <w:jc w:val="center"/>
              <w:rPr>
                <w:rFonts w:ascii="Times New Roman" w:hAnsi="Times New Roman" w:eastAsia="仿宋_GB2312"/>
                <w:kern w:val="0"/>
                <w:sz w:val="24"/>
                <w:szCs w:val="24"/>
              </w:rPr>
            </w:pPr>
          </w:p>
        </w:tc>
        <w:tc>
          <w:tcPr>
            <w:tcW w:w="2234" w:type="pct"/>
            <w:noWrap/>
            <w:vAlign w:val="center"/>
          </w:tcPr>
          <w:p>
            <w:pPr>
              <w:widowControl/>
              <w:adjustRightInd w:val="0"/>
              <w:snapToGrid w:val="0"/>
              <w:ind w:firstLine="480" w:firstLineChars="200"/>
              <w:rPr>
                <w:rFonts w:ascii="Times New Roman" w:hAnsi="Times New Roman" w:eastAsia="仿宋_GB2312"/>
                <w:strike/>
                <w:kern w:val="0"/>
                <w:sz w:val="24"/>
                <w:szCs w:val="24"/>
              </w:rPr>
            </w:pPr>
            <w:r>
              <w:rPr>
                <w:rFonts w:ascii="Times New Roman" w:hAnsi="Times New Roman" w:eastAsia="仿宋_GB2312"/>
                <w:kern w:val="0"/>
                <w:sz w:val="24"/>
                <w:szCs w:val="24"/>
              </w:rPr>
              <w:t>其中：</w:t>
            </w:r>
            <w:r>
              <w:rPr>
                <w:rFonts w:hint="eastAsia" w:ascii="Times New Roman" w:hAnsi="Times New Roman" w:eastAsia="仿宋_GB2312"/>
                <w:kern w:val="0"/>
                <w:sz w:val="24"/>
                <w:szCs w:val="24"/>
              </w:rPr>
              <w:t>线上开设课程数</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学时</w:t>
            </w:r>
          </w:p>
        </w:tc>
        <w:tc>
          <w:tcPr>
            <w:tcW w:w="800" w:type="pct"/>
            <w:noWrap/>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74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7" w:type="pct"/>
            <w:vMerge w:val="continue"/>
            <w:noWrap/>
            <w:vAlign w:val="center"/>
          </w:tcPr>
          <w:p>
            <w:pPr>
              <w:adjustRightInd w:val="0"/>
              <w:snapToGrid w:val="0"/>
              <w:jc w:val="center"/>
              <w:rPr>
                <w:rFonts w:ascii="Times New Roman" w:hAnsi="Times New Roman" w:eastAsia="仿宋_GB2312"/>
                <w:kern w:val="0"/>
                <w:sz w:val="24"/>
                <w:szCs w:val="24"/>
              </w:rPr>
            </w:pPr>
          </w:p>
        </w:tc>
        <w:tc>
          <w:tcPr>
            <w:tcW w:w="2234" w:type="pct"/>
            <w:noWrap/>
            <w:vAlign w:val="center"/>
          </w:tcPr>
          <w:p>
            <w:pPr>
              <w:widowControl/>
              <w:adjustRightInd w:val="0"/>
              <w:snapToGrid w:val="0"/>
              <w:rPr>
                <w:rFonts w:ascii="Times New Roman" w:hAnsi="Times New Roman" w:eastAsia="仿宋_GB2312"/>
                <w:kern w:val="0"/>
                <w:sz w:val="24"/>
                <w:szCs w:val="24"/>
              </w:rPr>
            </w:pPr>
            <w:r>
              <w:rPr>
                <w:rFonts w:hint="eastAsia" w:ascii="Times New Roman" w:hAnsi="Times New Roman" w:eastAsia="仿宋_GB2312"/>
                <w:kern w:val="0"/>
                <w:sz w:val="24"/>
                <w:szCs w:val="24"/>
              </w:rPr>
              <w:t>线上课程课均学生数</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学时</w:t>
            </w:r>
          </w:p>
        </w:tc>
        <w:tc>
          <w:tcPr>
            <w:tcW w:w="80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317</w:t>
            </w:r>
          </w:p>
        </w:tc>
        <w:tc>
          <w:tcPr>
            <w:tcW w:w="74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7" w:type="pct"/>
            <w:noWrap/>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2234" w:type="pct"/>
            <w:noWrap/>
            <w:vAlign w:val="center"/>
          </w:tcPr>
          <w:p>
            <w:pPr>
              <w:widowControl/>
              <w:adjustRightInd w:val="0"/>
              <w:snapToGrid w:val="0"/>
              <w:rPr>
                <w:rFonts w:ascii="Times New Roman" w:hAnsi="Times New Roman" w:eastAsia="仿宋_GB2312"/>
                <w:kern w:val="0"/>
                <w:sz w:val="24"/>
                <w:szCs w:val="24"/>
              </w:rPr>
            </w:pPr>
            <w:r>
              <w:rPr>
                <w:rFonts w:ascii="Times New Roman" w:hAnsi="Times New Roman" w:eastAsia="仿宋_GB2312"/>
                <w:kern w:val="0"/>
                <w:sz w:val="24"/>
                <w:szCs w:val="24"/>
              </w:rPr>
              <w:t>校园网主干最大带宽</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Mbps</w:t>
            </w:r>
          </w:p>
        </w:tc>
        <w:tc>
          <w:tcPr>
            <w:tcW w:w="80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0000</w:t>
            </w:r>
          </w:p>
        </w:tc>
        <w:tc>
          <w:tcPr>
            <w:tcW w:w="74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7" w:type="pct"/>
            <w:noWrap/>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2234" w:type="pct"/>
            <w:noWrap/>
            <w:vAlign w:val="center"/>
          </w:tcPr>
          <w:p>
            <w:pPr>
              <w:widowControl/>
              <w:adjustRightInd w:val="0"/>
              <w:snapToGrid w:val="0"/>
              <w:rPr>
                <w:rFonts w:ascii="Times New Roman" w:hAnsi="Times New Roman" w:eastAsia="仿宋_GB2312"/>
                <w:kern w:val="0"/>
                <w:sz w:val="24"/>
                <w:szCs w:val="24"/>
              </w:rPr>
            </w:pPr>
            <w:r>
              <w:rPr>
                <w:rFonts w:ascii="Times New Roman" w:hAnsi="Times New Roman" w:eastAsia="仿宋_GB2312"/>
                <w:kern w:val="0"/>
                <w:sz w:val="24"/>
                <w:szCs w:val="24"/>
              </w:rPr>
              <w:t>校园网出口带宽</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Mbps</w:t>
            </w:r>
          </w:p>
        </w:tc>
        <w:tc>
          <w:tcPr>
            <w:tcW w:w="800" w:type="pct"/>
            <w:vAlign w:val="center"/>
          </w:tcPr>
          <w:p>
            <w:pPr>
              <w:widowControl/>
              <w:adjustRightInd w:val="0"/>
              <w:snapToGrid w:val="0"/>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400</w:t>
            </w:r>
          </w:p>
        </w:tc>
        <w:tc>
          <w:tcPr>
            <w:tcW w:w="74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7" w:type="pct"/>
            <w:noWrap/>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2234" w:type="pct"/>
            <w:noWrap/>
            <w:vAlign w:val="center"/>
          </w:tcPr>
          <w:p>
            <w:pPr>
              <w:widowControl/>
              <w:adjustRightInd w:val="0"/>
              <w:snapToGrid w:val="0"/>
              <w:rPr>
                <w:rFonts w:ascii="Times New Roman" w:hAnsi="Times New Roman" w:eastAsia="仿宋_GB2312"/>
                <w:kern w:val="0"/>
                <w:sz w:val="24"/>
                <w:szCs w:val="24"/>
              </w:rPr>
            </w:pPr>
            <w:r>
              <w:rPr>
                <w:rFonts w:ascii="Times New Roman" w:hAnsi="Times New Roman" w:eastAsia="仿宋_GB2312"/>
                <w:kern w:val="0"/>
                <w:sz w:val="24"/>
                <w:szCs w:val="24"/>
              </w:rPr>
              <w:t>生均校内实践教学工位数</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个/生</w:t>
            </w:r>
          </w:p>
        </w:tc>
        <w:tc>
          <w:tcPr>
            <w:tcW w:w="800" w:type="pct"/>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.29</w:t>
            </w:r>
          </w:p>
        </w:tc>
        <w:tc>
          <w:tcPr>
            <w:tcW w:w="740" w:type="pct"/>
            <w:shd w:val="clear" w:color="auto" w:fill="auto"/>
            <w:vAlign w:val="center"/>
          </w:tcPr>
          <w:p>
            <w:pPr>
              <w:widowControl/>
              <w:adjustRightInd w:val="0"/>
              <w:snapToGrid w:val="0"/>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87" w:type="pct"/>
            <w:noWrap/>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2234" w:type="pct"/>
            <w:noWrap/>
            <w:vAlign w:val="center"/>
          </w:tcPr>
          <w:p>
            <w:pPr>
              <w:widowControl/>
              <w:adjustRightInd w:val="0"/>
              <w:snapToGrid w:val="0"/>
              <w:rPr>
                <w:rFonts w:ascii="Times New Roman" w:hAnsi="Times New Roman" w:eastAsia="仿宋_GB2312"/>
                <w:kern w:val="0"/>
                <w:sz w:val="24"/>
                <w:szCs w:val="24"/>
              </w:rPr>
            </w:pPr>
            <w:r>
              <w:rPr>
                <w:rFonts w:ascii="Times New Roman" w:hAnsi="Times New Roman" w:eastAsia="仿宋_GB2312"/>
                <w:kern w:val="0"/>
                <w:sz w:val="24"/>
                <w:szCs w:val="24"/>
              </w:rPr>
              <w:t>生均教学科研仪器设备值</w:t>
            </w:r>
          </w:p>
        </w:tc>
        <w:tc>
          <w:tcPr>
            <w:tcW w:w="739" w:type="pct"/>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元/生</w:t>
            </w:r>
          </w:p>
        </w:tc>
        <w:tc>
          <w:tcPr>
            <w:tcW w:w="800" w:type="pct"/>
            <w:vAlign w:val="center"/>
          </w:tcPr>
          <w:p>
            <w:pPr>
              <w:widowControl/>
              <w:adjustRightInd w:val="0"/>
              <w:snapToGrid w:val="0"/>
              <w:jc w:val="center"/>
              <w:rPr>
                <w:rFonts w:ascii="Times New Roman" w:hAnsi="Times New Roman" w:eastAsia="仿宋_GB2312"/>
                <w:kern w:val="0"/>
                <w:sz w:val="24"/>
                <w:szCs w:val="28"/>
              </w:rPr>
            </w:pPr>
            <w:r>
              <w:rPr>
                <w:rFonts w:hint="eastAsia" w:ascii="Times New Roman" w:hAnsi="Times New Roman" w:eastAsia="仿宋_GB2312"/>
                <w:kern w:val="0"/>
                <w:sz w:val="24"/>
                <w:szCs w:val="28"/>
              </w:rPr>
              <w:t>8</w:t>
            </w:r>
            <w:r>
              <w:rPr>
                <w:rFonts w:ascii="Times New Roman" w:hAnsi="Times New Roman" w:eastAsia="仿宋_GB2312"/>
                <w:kern w:val="0"/>
                <w:sz w:val="24"/>
                <w:szCs w:val="28"/>
              </w:rPr>
              <w:t>212.17</w:t>
            </w:r>
          </w:p>
        </w:tc>
        <w:tc>
          <w:tcPr>
            <w:tcW w:w="740" w:type="pct"/>
            <w:vAlign w:val="center"/>
          </w:tcPr>
          <w:p>
            <w:pPr>
              <w:widowControl/>
              <w:adjustRightInd w:val="0"/>
              <w:snapToGrid w:val="0"/>
              <w:jc w:val="center"/>
              <w:rPr>
                <w:rFonts w:ascii="Times New Roman" w:hAnsi="Times New Roman" w:eastAsia="仿宋_GB2312"/>
                <w:kern w:val="0"/>
                <w:sz w:val="28"/>
                <w:szCs w:val="28"/>
                <w:highlight w:val="yellow"/>
              </w:rPr>
            </w:pPr>
            <w:r>
              <w:rPr>
                <w:rFonts w:hint="eastAsia" w:ascii="Times New Roman" w:hAnsi="Times New Roman" w:eastAsia="仿宋_GB2312"/>
                <w:kern w:val="0"/>
                <w:sz w:val="28"/>
                <w:szCs w:val="28"/>
              </w:rPr>
              <w:t>9</w:t>
            </w:r>
            <w:r>
              <w:rPr>
                <w:rFonts w:ascii="Times New Roman" w:hAnsi="Times New Roman" w:eastAsia="仿宋_GB2312"/>
                <w:kern w:val="0"/>
                <w:sz w:val="28"/>
                <w:szCs w:val="28"/>
              </w:rPr>
              <w:t>328.3</w:t>
            </w:r>
          </w:p>
        </w:tc>
      </w:tr>
    </w:tbl>
    <w:p>
      <w:pPr>
        <w:ind w:right="480"/>
        <w:jc w:val="right"/>
        <w:rPr>
          <w:rFonts w:ascii="楷体" w:hAnsi="楷体" w:eastAsia="楷体"/>
          <w:sz w:val="24"/>
          <w:szCs w:val="24"/>
        </w:rPr>
      </w:pPr>
      <w:r>
        <w:rPr>
          <w:rFonts w:hint="eastAsia" w:ascii="楷体" w:hAnsi="楷体" w:eastAsia="楷体"/>
          <w:sz w:val="24"/>
          <w:szCs w:val="24"/>
        </w:rPr>
        <w:t>数据来源：高等职业院校人才培养工作状态数据采集与管理系统</w:t>
      </w:r>
    </w:p>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jc w:val="left"/>
        <w:rPr>
          <w:rFonts w:hint="eastAsia" w:ascii="仿宋" w:hAnsi="仿宋"/>
          <w:szCs w:val="32"/>
        </w:rPr>
      </w:pPr>
    </w:p>
    <w:p>
      <w:pPr>
        <w:pStyle w:val="2"/>
      </w:pPr>
      <w:bookmarkStart w:id="90" w:name="_Toc6027"/>
      <w:r>
        <w:t xml:space="preserve">表4 </w:t>
      </w:r>
      <w:r>
        <w:rPr>
          <w:rFonts w:hint="eastAsia"/>
        </w:rPr>
        <w:t xml:space="preserve"> </w:t>
      </w:r>
      <w:r>
        <w:t>国际影响表</w:t>
      </w:r>
      <w:bookmarkEnd w:id="90"/>
    </w:p>
    <w:tbl>
      <w:tblPr>
        <w:tblStyle w:val="12"/>
        <w:tblW w:w="10504" w:type="dxa"/>
        <w:jc w:val="center"/>
        <w:tblLayout w:type="fixed"/>
        <w:tblCellMar>
          <w:top w:w="0" w:type="dxa"/>
          <w:left w:w="108" w:type="dxa"/>
          <w:bottom w:w="0" w:type="dxa"/>
          <w:right w:w="108" w:type="dxa"/>
        </w:tblCellMar>
      </w:tblPr>
      <w:tblGrid>
        <w:gridCol w:w="788"/>
        <w:gridCol w:w="788"/>
        <w:gridCol w:w="452"/>
        <w:gridCol w:w="2315"/>
        <w:gridCol w:w="709"/>
        <w:gridCol w:w="1078"/>
        <w:gridCol w:w="1080"/>
        <w:gridCol w:w="3294"/>
      </w:tblGrid>
      <w:tr>
        <w:tblPrEx>
          <w:tblCellMar>
            <w:top w:w="0" w:type="dxa"/>
            <w:left w:w="108" w:type="dxa"/>
            <w:bottom w:w="0" w:type="dxa"/>
            <w:right w:w="108" w:type="dxa"/>
          </w:tblCellMar>
        </w:tblPrEx>
        <w:trPr>
          <w:trHeight w:val="732"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院校代码</w:t>
            </w:r>
          </w:p>
        </w:tc>
        <w:tc>
          <w:tcPr>
            <w:tcW w:w="788"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院校名称</w:t>
            </w:r>
          </w:p>
        </w:tc>
        <w:tc>
          <w:tcPr>
            <w:tcW w:w="2767" w:type="dxa"/>
            <w:gridSpan w:val="2"/>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指标</w:t>
            </w:r>
          </w:p>
        </w:tc>
        <w:tc>
          <w:tcPr>
            <w:tcW w:w="709"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单位</w:t>
            </w:r>
          </w:p>
        </w:tc>
        <w:tc>
          <w:tcPr>
            <w:tcW w:w="1078"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2020年</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2021年</w:t>
            </w:r>
          </w:p>
        </w:tc>
        <w:tc>
          <w:tcPr>
            <w:tcW w:w="3294"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备注</w:t>
            </w:r>
          </w:p>
        </w:tc>
      </w:tr>
      <w:tr>
        <w:tblPrEx>
          <w:tblCellMar>
            <w:top w:w="0" w:type="dxa"/>
            <w:left w:w="108" w:type="dxa"/>
            <w:bottom w:w="0" w:type="dxa"/>
            <w:right w:w="108" w:type="dxa"/>
          </w:tblCellMar>
        </w:tblPrEx>
        <w:trPr>
          <w:trHeight w:val="456" w:hRule="atLeast"/>
          <w:jc w:val="center"/>
        </w:trPr>
        <w:tc>
          <w:tcPr>
            <w:tcW w:w="788" w:type="dxa"/>
            <w:vMerge w:val="restar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p>
        </w:tc>
        <w:tc>
          <w:tcPr>
            <w:tcW w:w="788" w:type="dxa"/>
            <w:vMerge w:val="restar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231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全日制国（境）外留学生人数（一年以上）</w:t>
            </w:r>
          </w:p>
        </w:tc>
        <w:tc>
          <w:tcPr>
            <w:tcW w:w="709"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1078"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1080" w:type="dxa"/>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3294"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231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color w:val="FF0000"/>
                <w:kern w:val="0"/>
                <w:sz w:val="24"/>
                <w:szCs w:val="24"/>
              </w:rPr>
            </w:pPr>
            <w:r>
              <w:rPr>
                <w:rFonts w:ascii="Times New Roman" w:hAnsi="Times New Roman" w:eastAsia="仿宋_GB2312"/>
                <w:kern w:val="0"/>
                <w:sz w:val="24"/>
                <w:szCs w:val="24"/>
              </w:rPr>
              <w:t>非全日制国（境）外人员培训量</w:t>
            </w:r>
          </w:p>
        </w:tc>
        <w:tc>
          <w:tcPr>
            <w:tcW w:w="709"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人日</w:t>
            </w:r>
          </w:p>
        </w:tc>
        <w:tc>
          <w:tcPr>
            <w:tcW w:w="1078"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1080" w:type="dxa"/>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3294"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231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在校生服务“走出去”企业国（境）外实习时间</w:t>
            </w:r>
          </w:p>
        </w:tc>
        <w:tc>
          <w:tcPr>
            <w:tcW w:w="709"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人日</w:t>
            </w:r>
          </w:p>
        </w:tc>
        <w:tc>
          <w:tcPr>
            <w:tcW w:w="1078"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1080" w:type="dxa"/>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3294"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231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专任教师赴国（境）外指导和开展培训时间</w:t>
            </w:r>
          </w:p>
        </w:tc>
        <w:tc>
          <w:tcPr>
            <w:tcW w:w="709"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人日</w:t>
            </w:r>
          </w:p>
        </w:tc>
        <w:tc>
          <w:tcPr>
            <w:tcW w:w="1078"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1080" w:type="dxa"/>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3294"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452"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231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在国（境）外组织担任职务的专任教师人数</w:t>
            </w:r>
          </w:p>
        </w:tc>
        <w:tc>
          <w:tcPr>
            <w:tcW w:w="709"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1078"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1080" w:type="dxa"/>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p>
        </w:tc>
        <w:tc>
          <w:tcPr>
            <w:tcW w:w="3294" w:type="dxa"/>
            <w:tcBorders>
              <w:top w:val="nil"/>
              <w:left w:val="nil"/>
              <w:bottom w:val="single" w:color="auto" w:sz="4" w:space="0"/>
              <w:right w:val="single" w:color="auto" w:sz="4" w:space="0"/>
            </w:tcBorders>
          </w:tcPr>
          <w:p>
            <w:pPr>
              <w:widowControl/>
              <w:spacing w:line="300" w:lineRule="exact"/>
              <w:jc w:val="left"/>
              <w:rPr>
                <w:rFonts w:ascii="宋体" w:hAnsi="宋体" w:eastAsia="宋体"/>
                <w:kern w:val="0"/>
                <w:sz w:val="21"/>
              </w:rPr>
            </w:pPr>
            <w:r>
              <w:rPr>
                <w:rFonts w:hint="eastAsia" w:ascii="宋体" w:hAnsi="宋体" w:eastAsia="宋体"/>
                <w:kern w:val="0"/>
                <w:sz w:val="21"/>
              </w:rPr>
              <w:t>周朝晖在时装艺术国际同盟，担任常务理事委员职务；陈龙在时装艺术国际同盟，担任秘书处副秘书长职务；杨雅儒在时装艺术国际同盟，担任秘书处成员职务；谭竺在亚洲扬琴协会，担任副会长职务</w:t>
            </w: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452" w:type="dxa"/>
            <w:vMerge w:val="restart"/>
            <w:tcBorders>
              <w:top w:val="nil"/>
              <w:left w:val="nil"/>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231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开发并被国（境）外采用的专业教学标准数</w:t>
            </w:r>
          </w:p>
        </w:tc>
        <w:tc>
          <w:tcPr>
            <w:tcW w:w="709"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个</w:t>
            </w:r>
          </w:p>
        </w:tc>
        <w:tc>
          <w:tcPr>
            <w:tcW w:w="1078"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1080" w:type="dxa"/>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3294" w:type="dxa"/>
            <w:vMerge w:val="restart"/>
            <w:tcBorders>
              <w:top w:val="nil"/>
              <w:left w:val="nil"/>
              <w:right w:val="single" w:color="auto" w:sz="4" w:space="0"/>
            </w:tcBorders>
          </w:tcPr>
          <w:p>
            <w:pPr>
              <w:widowControl/>
              <w:spacing w:line="30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填报格式：开发××标准被××、××采用（该标准须被2个及以上国家或地区同行所采用）；须逐一列出，否则数据无效。</w:t>
            </w: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452" w:type="dxa"/>
            <w:vMerge w:val="continue"/>
            <w:tcBorders>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p>
        </w:tc>
        <w:tc>
          <w:tcPr>
            <w:tcW w:w="231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开发并被国（境）</w:t>
            </w:r>
            <w:r>
              <w:rPr>
                <w:rFonts w:ascii="Times New Roman" w:hAnsi="Times New Roman" w:eastAsia="仿宋_GB2312"/>
                <w:w w:val="96"/>
                <w:kern w:val="0"/>
                <w:sz w:val="24"/>
                <w:szCs w:val="24"/>
              </w:rPr>
              <w:t>外采用的课程标准数</w:t>
            </w:r>
          </w:p>
        </w:tc>
        <w:tc>
          <w:tcPr>
            <w:tcW w:w="709"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个</w:t>
            </w:r>
          </w:p>
        </w:tc>
        <w:tc>
          <w:tcPr>
            <w:tcW w:w="1078"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1080" w:type="dxa"/>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3294" w:type="dxa"/>
            <w:vMerge w:val="continue"/>
            <w:tcBorders>
              <w:left w:val="nil"/>
              <w:bottom w:val="single" w:color="auto" w:sz="4" w:space="0"/>
              <w:right w:val="single" w:color="auto" w:sz="4" w:space="0"/>
            </w:tcBorders>
          </w:tcPr>
          <w:p>
            <w:pPr>
              <w:widowControl/>
              <w:spacing w:line="300" w:lineRule="exact"/>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56"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452" w:type="dxa"/>
            <w:tcBorders>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2315" w:type="dxa"/>
            <w:tcBorders>
              <w:top w:val="nil"/>
              <w:left w:val="nil"/>
              <w:bottom w:val="single" w:color="auto" w:sz="4" w:space="0"/>
              <w:right w:val="single" w:color="auto" w:sz="4" w:space="0"/>
            </w:tcBorders>
            <w:noWrap/>
            <w:vAlign w:val="center"/>
          </w:tcPr>
          <w:p>
            <w:pPr>
              <w:widowControl/>
              <w:spacing w:line="30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国（境）外技能大赛获奖数量</w:t>
            </w:r>
          </w:p>
        </w:tc>
        <w:tc>
          <w:tcPr>
            <w:tcW w:w="709"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项</w:t>
            </w:r>
          </w:p>
        </w:tc>
        <w:tc>
          <w:tcPr>
            <w:tcW w:w="1078"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1080" w:type="dxa"/>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3294" w:type="dxa"/>
            <w:tcBorders>
              <w:left w:val="nil"/>
              <w:bottom w:val="single" w:color="auto" w:sz="4" w:space="0"/>
              <w:right w:val="single" w:color="auto" w:sz="4" w:space="0"/>
            </w:tcBorders>
          </w:tcPr>
          <w:p>
            <w:pPr>
              <w:widowControl/>
              <w:spacing w:line="30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填报格式：××（姓名）在××（大赛名），获××奖；须逐一列出，否则数据无效。</w:t>
            </w:r>
          </w:p>
        </w:tc>
      </w:tr>
      <w:tr>
        <w:tblPrEx>
          <w:tblCellMar>
            <w:top w:w="0" w:type="dxa"/>
            <w:left w:w="108" w:type="dxa"/>
            <w:bottom w:w="0" w:type="dxa"/>
            <w:right w:w="108" w:type="dxa"/>
          </w:tblCellMar>
        </w:tblPrEx>
        <w:trPr>
          <w:trHeight w:val="692" w:hRule="atLeast"/>
          <w:jc w:val="center"/>
        </w:trPr>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78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仿宋_GB2312"/>
                <w:kern w:val="0"/>
                <w:sz w:val="24"/>
                <w:szCs w:val="24"/>
              </w:rPr>
            </w:pPr>
          </w:p>
        </w:tc>
        <w:tc>
          <w:tcPr>
            <w:tcW w:w="452" w:type="dxa"/>
            <w:tcBorders>
              <w:left w:val="nil"/>
              <w:bottom w:val="single" w:color="auto" w:sz="4" w:space="0"/>
              <w:right w:val="single" w:color="auto" w:sz="4" w:space="0"/>
            </w:tcBorders>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2315" w:type="dxa"/>
            <w:tcBorders>
              <w:top w:val="nil"/>
              <w:left w:val="nil"/>
              <w:bottom w:val="single" w:color="auto" w:sz="4" w:space="0"/>
              <w:right w:val="single" w:color="auto" w:sz="4" w:space="0"/>
            </w:tcBorders>
            <w:noWrap/>
            <w:vAlign w:val="center"/>
          </w:tcPr>
          <w:p>
            <w:pPr>
              <w:rPr>
                <w:rFonts w:ascii="Times New Roman" w:hAnsi="Times New Roman" w:eastAsia="仿宋_GB2312"/>
                <w:w w:val="96"/>
                <w:kern w:val="0"/>
                <w:sz w:val="24"/>
                <w:szCs w:val="24"/>
              </w:rPr>
            </w:pPr>
            <w:r>
              <w:rPr>
                <w:rFonts w:ascii="Times New Roman" w:hAnsi="Times New Roman" w:eastAsia="仿宋_GB2312"/>
                <w:w w:val="96"/>
                <w:kern w:val="0"/>
                <w:sz w:val="24"/>
                <w:szCs w:val="24"/>
              </w:rPr>
              <w:t>国际合作科研平台数</w:t>
            </w:r>
          </w:p>
        </w:tc>
        <w:tc>
          <w:tcPr>
            <w:tcW w:w="709" w:type="dxa"/>
            <w:tcBorders>
              <w:top w:val="nil"/>
              <w:left w:val="nil"/>
              <w:bottom w:val="single" w:color="auto" w:sz="4" w:space="0"/>
              <w:right w:val="single" w:color="auto" w:sz="4" w:space="0"/>
            </w:tcBorders>
            <w:noWrap/>
            <w:vAlign w:val="center"/>
          </w:tcPr>
          <w:p>
            <w:pPr>
              <w:jc w:val="center"/>
              <w:rPr>
                <w:rFonts w:ascii="Times New Roman" w:hAnsi="Times New Roman" w:eastAsia="仿宋_GB2312"/>
                <w:sz w:val="24"/>
                <w:szCs w:val="24"/>
              </w:rPr>
            </w:pPr>
            <w:r>
              <w:rPr>
                <w:rFonts w:ascii="Times New Roman" w:hAnsi="Times New Roman" w:eastAsia="仿宋_GB2312"/>
                <w:sz w:val="24"/>
                <w:szCs w:val="24"/>
              </w:rPr>
              <w:t>个</w:t>
            </w:r>
          </w:p>
        </w:tc>
        <w:tc>
          <w:tcPr>
            <w:tcW w:w="1078"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0</w:t>
            </w:r>
          </w:p>
        </w:tc>
        <w:tc>
          <w:tcPr>
            <w:tcW w:w="1080" w:type="dxa"/>
            <w:tcBorders>
              <w:top w:val="nil"/>
              <w:left w:val="single" w:color="auto" w:sz="4" w:space="0"/>
              <w:bottom w:val="single" w:color="auto" w:sz="4" w:space="0"/>
              <w:right w:val="single" w:color="auto" w:sz="4" w:space="0"/>
            </w:tcBorders>
            <w:noWrap/>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0</w:t>
            </w:r>
          </w:p>
        </w:tc>
        <w:tc>
          <w:tcPr>
            <w:tcW w:w="3294" w:type="dxa"/>
            <w:tcBorders>
              <w:left w:val="nil"/>
              <w:bottom w:val="single" w:color="auto" w:sz="4" w:space="0"/>
              <w:right w:val="single" w:color="auto" w:sz="4" w:space="0"/>
            </w:tcBorders>
            <w:vAlign w:val="center"/>
          </w:tcPr>
          <w:p>
            <w:pPr>
              <w:rPr>
                <w:rFonts w:ascii="Times New Roman" w:hAnsi="Times New Roman" w:eastAsia="仿宋_GB2312"/>
                <w:color w:val="FF0000"/>
                <w:sz w:val="24"/>
                <w:szCs w:val="24"/>
              </w:rPr>
            </w:pPr>
            <w:r>
              <w:rPr>
                <w:rFonts w:ascii="Times New Roman" w:hAnsi="Times New Roman" w:eastAsia="仿宋_GB2312"/>
                <w:kern w:val="0"/>
                <w:sz w:val="24"/>
                <w:szCs w:val="24"/>
              </w:rPr>
              <w:t>填报格式：××（平台名称）成立于×年×月；须逐一列出，否则数据无效。</w:t>
            </w:r>
          </w:p>
        </w:tc>
      </w:tr>
    </w:tbl>
    <w:p>
      <w:pPr>
        <w:jc w:val="right"/>
        <w:rPr>
          <w:rFonts w:ascii="楷体" w:hAnsi="楷体" w:eastAsia="楷体"/>
          <w:sz w:val="24"/>
          <w:szCs w:val="24"/>
        </w:rPr>
      </w:pPr>
      <w:r>
        <w:rPr>
          <w:rFonts w:hint="eastAsia" w:ascii="楷体" w:hAnsi="楷体" w:eastAsia="楷体"/>
          <w:sz w:val="24"/>
          <w:szCs w:val="24"/>
        </w:rPr>
        <w:t xml:space="preserve"> </w:t>
      </w:r>
      <w:r>
        <w:rPr>
          <w:rFonts w:ascii="楷体" w:hAnsi="楷体" w:eastAsia="楷体"/>
          <w:sz w:val="24"/>
          <w:szCs w:val="24"/>
        </w:rPr>
        <w:t xml:space="preserve"> </w:t>
      </w:r>
      <w:r>
        <w:rPr>
          <w:rFonts w:hint="eastAsia" w:ascii="楷体" w:hAnsi="楷体" w:eastAsia="楷体"/>
          <w:sz w:val="24"/>
          <w:szCs w:val="24"/>
        </w:rPr>
        <w:t>数据来源：高等职业院校人才培养工作状态数据采集与管理系统</w:t>
      </w:r>
    </w:p>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jc w:val="left"/>
        <w:rPr>
          <w:rFonts w:hint="eastAsia" w:ascii="仿宋" w:hAnsi="仿宋"/>
          <w:szCs w:val="32"/>
        </w:rPr>
      </w:pPr>
    </w:p>
    <w:p>
      <w:pPr>
        <w:pStyle w:val="2"/>
      </w:pPr>
      <w:bookmarkStart w:id="91" w:name="_Toc10398"/>
      <w:r>
        <w:t>表5</w:t>
      </w:r>
      <w:r>
        <w:rPr>
          <w:rFonts w:hint="eastAsia"/>
        </w:rPr>
        <w:t xml:space="preserve"> </w:t>
      </w:r>
      <w:r>
        <w:t xml:space="preserve"> 服务贡献表</w:t>
      </w:r>
      <w:bookmarkEnd w:id="91"/>
    </w:p>
    <w:tbl>
      <w:tblPr>
        <w:tblStyle w:val="12"/>
        <w:tblW w:w="5074" w:type="pct"/>
        <w:jc w:val="center"/>
        <w:tblLayout w:type="fixed"/>
        <w:tblCellMar>
          <w:top w:w="0" w:type="dxa"/>
          <w:left w:w="108" w:type="dxa"/>
          <w:bottom w:w="0" w:type="dxa"/>
          <w:right w:w="108" w:type="dxa"/>
        </w:tblCellMar>
      </w:tblPr>
      <w:tblGrid>
        <w:gridCol w:w="748"/>
        <w:gridCol w:w="700"/>
        <w:gridCol w:w="474"/>
        <w:gridCol w:w="2302"/>
        <w:gridCol w:w="799"/>
        <w:gridCol w:w="1141"/>
        <w:gridCol w:w="1126"/>
        <w:gridCol w:w="1359"/>
      </w:tblGrid>
      <w:tr>
        <w:tblPrEx>
          <w:tblCellMar>
            <w:top w:w="0" w:type="dxa"/>
            <w:left w:w="108" w:type="dxa"/>
            <w:bottom w:w="0" w:type="dxa"/>
            <w:right w:w="108" w:type="dxa"/>
          </w:tblCellMar>
        </w:tblPrEx>
        <w:trPr>
          <w:trHeight w:val="734" w:hRule="atLeast"/>
          <w:jc w:val="center"/>
        </w:trPr>
        <w:tc>
          <w:tcPr>
            <w:tcW w:w="43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仿宋_GB2312"/>
                <w:b/>
                <w:bCs/>
                <w:kern w:val="0"/>
                <w:sz w:val="24"/>
                <w:szCs w:val="24"/>
              </w:rPr>
            </w:pPr>
            <w:r>
              <w:rPr>
                <w:rFonts w:ascii="Times New Roman" w:hAnsi="Times New Roman" w:eastAsia="仿宋_GB2312"/>
                <w:b/>
                <w:bCs/>
                <w:kern w:val="0"/>
                <w:sz w:val="24"/>
                <w:szCs w:val="24"/>
              </w:rPr>
              <w:t>院校代码</w:t>
            </w:r>
          </w:p>
        </w:tc>
        <w:tc>
          <w:tcPr>
            <w:tcW w:w="404"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仿宋_GB2312"/>
                <w:b/>
                <w:bCs/>
                <w:kern w:val="0"/>
                <w:sz w:val="24"/>
                <w:szCs w:val="24"/>
              </w:rPr>
            </w:pPr>
            <w:r>
              <w:rPr>
                <w:rFonts w:ascii="Times New Roman" w:hAnsi="Times New Roman" w:eastAsia="仿宋_GB2312"/>
                <w:b/>
                <w:bCs/>
                <w:kern w:val="0"/>
                <w:sz w:val="24"/>
                <w:szCs w:val="24"/>
              </w:rPr>
              <w:t>院校名称</w:t>
            </w:r>
          </w:p>
        </w:tc>
        <w:tc>
          <w:tcPr>
            <w:tcW w:w="1605"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指标</w:t>
            </w:r>
          </w:p>
        </w:tc>
        <w:tc>
          <w:tcPr>
            <w:tcW w:w="462"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单位</w:t>
            </w:r>
          </w:p>
        </w:tc>
        <w:tc>
          <w:tcPr>
            <w:tcW w:w="660"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2020年</w:t>
            </w:r>
          </w:p>
        </w:tc>
        <w:tc>
          <w:tcPr>
            <w:tcW w:w="651"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2021年</w:t>
            </w:r>
          </w:p>
        </w:tc>
        <w:tc>
          <w:tcPr>
            <w:tcW w:w="787"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备注</w:t>
            </w:r>
          </w:p>
        </w:tc>
      </w:tr>
      <w:tr>
        <w:tblPrEx>
          <w:tblCellMar>
            <w:top w:w="0" w:type="dxa"/>
            <w:left w:w="108" w:type="dxa"/>
            <w:bottom w:w="0" w:type="dxa"/>
            <w:right w:w="108" w:type="dxa"/>
          </w:tblCellMar>
        </w:tblPrEx>
        <w:trPr>
          <w:trHeight w:val="421" w:hRule="atLeast"/>
          <w:jc w:val="center"/>
        </w:trPr>
        <w:tc>
          <w:tcPr>
            <w:tcW w:w="432" w:type="pct"/>
            <w:vMerge w:val="restart"/>
            <w:tcBorders>
              <w:top w:val="single" w:color="auto" w:sz="4" w:space="0"/>
              <w:left w:val="single" w:color="auto" w:sz="4" w:space="0"/>
              <w:right w:val="single" w:color="auto" w:sz="4" w:space="0"/>
            </w:tcBorders>
            <w:shd w:val="clear" w:color="000000" w:fill="FFFFFF"/>
            <w:vAlign w:val="bottom"/>
          </w:tcPr>
          <w:p>
            <w:pPr>
              <w:rPr>
                <w:rFonts w:ascii="Times New Roman" w:hAnsi="Times New Roman" w:eastAsia="仿宋_GB2312"/>
                <w:kern w:val="0"/>
                <w:sz w:val="24"/>
                <w:szCs w:val="24"/>
              </w:rPr>
            </w:pPr>
          </w:p>
        </w:tc>
        <w:tc>
          <w:tcPr>
            <w:tcW w:w="404" w:type="pct"/>
            <w:vMerge w:val="restart"/>
            <w:tcBorders>
              <w:top w:val="single" w:color="auto" w:sz="4" w:space="0"/>
              <w:left w:val="single" w:color="auto" w:sz="4" w:space="0"/>
              <w:right w:val="single" w:color="auto" w:sz="4" w:space="0"/>
            </w:tcBorders>
            <w:shd w:val="clear" w:color="000000" w:fill="FFFFFF"/>
            <w:vAlign w:val="bottom"/>
          </w:tcPr>
          <w:p>
            <w:pPr>
              <w:rPr>
                <w:rFonts w:ascii="Times New Roman" w:hAnsi="Times New Roman" w:eastAsia="仿宋_GB2312"/>
                <w:kern w:val="0"/>
                <w:sz w:val="24"/>
                <w:szCs w:val="24"/>
              </w:rPr>
            </w:pPr>
          </w:p>
        </w:tc>
        <w:tc>
          <w:tcPr>
            <w:tcW w:w="274" w:type="pct"/>
            <w:vMerge w:val="restart"/>
            <w:tcBorders>
              <w:top w:val="single" w:color="auto" w:sz="4" w:space="0"/>
              <w:left w:val="single" w:color="auto" w:sz="4" w:space="0"/>
              <w:right w:val="single" w:color="auto" w:sz="4" w:space="0"/>
            </w:tcBorders>
            <w:shd w:val="clear" w:color="000000" w:fill="FFFFFF"/>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331" w:type="pct"/>
            <w:tcBorders>
              <w:top w:val="single" w:color="auto" w:sz="4" w:space="0"/>
              <w:left w:val="nil"/>
              <w:bottom w:val="single" w:color="auto" w:sz="4" w:space="0"/>
              <w:right w:val="single" w:color="auto" w:sz="4" w:space="0"/>
            </w:tcBorders>
            <w:shd w:val="clear" w:color="000000" w:fill="FFFFFF"/>
            <w:noWrap/>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全日制在校生人数</w:t>
            </w:r>
          </w:p>
        </w:tc>
        <w:tc>
          <w:tcPr>
            <w:tcW w:w="462"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60" w:type="pct"/>
            <w:tcBorders>
              <w:top w:val="single" w:color="auto" w:sz="4" w:space="0"/>
              <w:left w:val="nil"/>
              <w:bottom w:val="single" w:color="auto" w:sz="4" w:space="0"/>
              <w:right w:val="single" w:color="auto" w:sz="4" w:space="0"/>
            </w:tcBorders>
            <w:shd w:val="clear" w:color="000000" w:fill="FFFFFF"/>
            <w:noWrap/>
            <w:vAlign w:val="bottom"/>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5</w:t>
            </w:r>
            <w:r>
              <w:rPr>
                <w:rFonts w:ascii="Times New Roman" w:hAnsi="Times New Roman" w:eastAsia="仿宋_GB2312"/>
                <w:color w:val="000000" w:themeColor="text1"/>
                <w:kern w:val="0"/>
                <w:sz w:val="24"/>
                <w:szCs w:val="24"/>
                <w14:textFill>
                  <w14:solidFill>
                    <w14:schemeClr w14:val="tx1"/>
                  </w14:solidFill>
                </w14:textFill>
              </w:rPr>
              <w:t>258</w:t>
            </w:r>
          </w:p>
        </w:tc>
        <w:tc>
          <w:tcPr>
            <w:tcW w:w="651" w:type="pct"/>
            <w:tcBorders>
              <w:top w:val="single" w:color="auto" w:sz="4" w:space="0"/>
              <w:left w:val="nil"/>
              <w:bottom w:val="single" w:color="auto" w:sz="4" w:space="0"/>
              <w:right w:val="single" w:color="auto" w:sz="4" w:space="0"/>
            </w:tcBorders>
            <w:shd w:val="clear" w:color="000000" w:fill="FFFFFF"/>
            <w:noWrap/>
            <w:vAlign w:val="bottom"/>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6</w:t>
            </w:r>
            <w:r>
              <w:rPr>
                <w:rFonts w:ascii="Times New Roman" w:hAnsi="Times New Roman" w:eastAsia="仿宋_GB2312"/>
                <w:kern w:val="0"/>
                <w:sz w:val="24"/>
                <w:szCs w:val="24"/>
              </w:rPr>
              <w:t>358</w:t>
            </w:r>
          </w:p>
        </w:tc>
        <w:tc>
          <w:tcPr>
            <w:tcW w:w="787" w:type="pct"/>
            <w:tcBorders>
              <w:top w:val="single" w:color="auto" w:sz="4" w:space="0"/>
              <w:left w:val="nil"/>
              <w:bottom w:val="single" w:color="auto" w:sz="4" w:space="0"/>
              <w:right w:val="single" w:color="auto" w:sz="4" w:space="0"/>
            </w:tcBorders>
            <w:shd w:val="clear" w:color="000000" w:fill="FFFFFF"/>
          </w:tcPr>
          <w:p>
            <w:pPr>
              <w:widowControl/>
              <w:jc w:val="center"/>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shd w:val="clear" w:color="000000" w:fill="FFFFFF"/>
            <w:vAlign w:val="bottom"/>
          </w:tcPr>
          <w:p>
            <w:pPr>
              <w:widowControl/>
              <w:jc w:val="center"/>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shd w:val="clear" w:color="000000" w:fill="FFFFFF"/>
            <w:vAlign w:val="bottom"/>
          </w:tcPr>
          <w:p>
            <w:pPr>
              <w:widowControl/>
              <w:jc w:val="center"/>
              <w:rPr>
                <w:rFonts w:ascii="Times New Roman" w:hAnsi="Times New Roman" w:eastAsia="仿宋_GB2312"/>
                <w:kern w:val="0"/>
                <w:sz w:val="24"/>
                <w:szCs w:val="24"/>
              </w:rPr>
            </w:pPr>
          </w:p>
        </w:tc>
        <w:tc>
          <w:tcPr>
            <w:tcW w:w="274" w:type="pct"/>
            <w:vMerge w:val="continue"/>
            <w:tcBorders>
              <w:left w:val="single" w:color="auto" w:sz="4" w:space="0"/>
              <w:right w:val="single" w:color="auto" w:sz="4" w:space="0"/>
            </w:tcBorders>
            <w:shd w:val="clear" w:color="000000" w:fill="FFFFFF"/>
            <w:vAlign w:val="center"/>
          </w:tcPr>
          <w:p>
            <w:pPr>
              <w:widowControl/>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noWrap/>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毕业生人数</w:t>
            </w:r>
          </w:p>
        </w:tc>
        <w:tc>
          <w:tcPr>
            <w:tcW w:w="462"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60" w:type="pct"/>
            <w:tcBorders>
              <w:top w:val="nil"/>
              <w:left w:val="nil"/>
              <w:bottom w:val="single" w:color="auto" w:sz="4" w:space="0"/>
              <w:right w:val="single" w:color="auto" w:sz="4" w:space="0"/>
            </w:tcBorders>
            <w:shd w:val="clear" w:color="000000" w:fill="FFFFFF"/>
            <w:noWrap/>
            <w:vAlign w:val="bottom"/>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1</w:t>
            </w:r>
            <w:r>
              <w:rPr>
                <w:rFonts w:ascii="Times New Roman" w:hAnsi="Times New Roman" w:eastAsia="仿宋_GB2312"/>
                <w:color w:val="000000" w:themeColor="text1"/>
                <w:kern w:val="0"/>
                <w:sz w:val="24"/>
                <w:szCs w:val="24"/>
                <w14:textFill>
                  <w14:solidFill>
                    <w14:schemeClr w14:val="tx1"/>
                  </w14:solidFill>
                </w14:textFill>
              </w:rPr>
              <w:t>271</w:t>
            </w:r>
          </w:p>
        </w:tc>
        <w:tc>
          <w:tcPr>
            <w:tcW w:w="651" w:type="pct"/>
            <w:tcBorders>
              <w:top w:val="nil"/>
              <w:left w:val="nil"/>
              <w:bottom w:val="single" w:color="auto" w:sz="4" w:space="0"/>
              <w:right w:val="single" w:color="auto" w:sz="4" w:space="0"/>
            </w:tcBorders>
            <w:shd w:val="clear" w:color="000000" w:fill="FFFFFF"/>
            <w:noWrap/>
            <w:vAlign w:val="bottom"/>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779</w:t>
            </w:r>
          </w:p>
        </w:tc>
        <w:tc>
          <w:tcPr>
            <w:tcW w:w="787" w:type="pct"/>
            <w:tcBorders>
              <w:top w:val="nil"/>
              <w:left w:val="nil"/>
              <w:bottom w:val="single" w:color="auto" w:sz="4" w:space="0"/>
              <w:right w:val="single" w:color="auto" w:sz="4" w:space="0"/>
            </w:tcBorders>
            <w:shd w:val="clear" w:color="000000" w:fill="FFFFFF"/>
          </w:tcPr>
          <w:p>
            <w:pPr>
              <w:widowControl/>
              <w:jc w:val="center"/>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kern w:val="0"/>
                <w:sz w:val="24"/>
                <w:szCs w:val="24"/>
              </w:rPr>
            </w:pPr>
            <w:r>
              <w:rPr>
                <w:rFonts w:ascii="Times New Roman" w:hAnsi="Times New Roman" w:eastAsia="仿宋_GB2312"/>
                <w:kern w:val="0"/>
                <w:sz w:val="24"/>
                <w:szCs w:val="24"/>
              </w:rPr>
              <w:t>其中：就业人数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60"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1</w:t>
            </w:r>
            <w:r>
              <w:rPr>
                <w:rFonts w:ascii="Times New Roman" w:hAnsi="Times New Roman" w:eastAsia="仿宋_GB2312"/>
                <w:color w:val="000000" w:themeColor="text1"/>
                <w:kern w:val="0"/>
                <w:sz w:val="24"/>
                <w:szCs w:val="24"/>
                <w14:textFill>
                  <w14:solidFill>
                    <w14:schemeClr w14:val="tx1"/>
                  </w14:solidFill>
                </w14:textFill>
              </w:rPr>
              <w:t>039</w:t>
            </w:r>
          </w:p>
        </w:tc>
        <w:tc>
          <w:tcPr>
            <w:tcW w:w="651" w:type="pct"/>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595</w:t>
            </w:r>
          </w:p>
        </w:tc>
        <w:tc>
          <w:tcPr>
            <w:tcW w:w="787" w:type="pct"/>
            <w:tcBorders>
              <w:top w:val="nil"/>
              <w:left w:val="nil"/>
              <w:bottom w:val="single" w:color="auto" w:sz="4" w:space="0"/>
              <w:right w:val="single" w:color="auto" w:sz="4" w:space="0"/>
            </w:tcBorders>
            <w:shd w:val="clear" w:color="000000" w:fill="FFFFFF"/>
          </w:tcPr>
          <w:p>
            <w:pPr>
              <w:widowControl/>
              <w:jc w:val="center"/>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8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毕业生就业去向：</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660"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w:t>
            </w:r>
          </w:p>
        </w:tc>
        <w:tc>
          <w:tcPr>
            <w:tcW w:w="651"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787" w:type="pct"/>
            <w:tcBorders>
              <w:top w:val="nil"/>
              <w:left w:val="nil"/>
              <w:bottom w:val="single" w:color="auto" w:sz="4" w:space="0"/>
              <w:right w:val="single" w:color="auto" w:sz="4" w:space="0"/>
            </w:tcBorders>
            <w:shd w:val="clear" w:color="000000" w:fill="FFFFFF"/>
          </w:tcPr>
          <w:p>
            <w:pPr>
              <w:widowControl/>
              <w:jc w:val="center"/>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71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kern w:val="0"/>
                <w:sz w:val="24"/>
                <w:szCs w:val="24"/>
              </w:rPr>
            </w:pPr>
            <w:r>
              <w:rPr>
                <w:rFonts w:ascii="Times New Roman" w:hAnsi="Times New Roman" w:eastAsia="仿宋_GB2312"/>
                <w:kern w:val="0"/>
                <w:sz w:val="24"/>
                <w:szCs w:val="24"/>
              </w:rPr>
              <w:t>A类:留在当地就业人数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7</w:t>
            </w:r>
            <w:r>
              <w:rPr>
                <w:rFonts w:ascii="Times New Roman" w:hAnsi="Times New Roman" w:eastAsia="仿宋_GB2312"/>
                <w:color w:val="000000" w:themeColor="text1"/>
                <w:kern w:val="0"/>
                <w:sz w:val="24"/>
                <w:szCs w:val="24"/>
                <w14:textFill>
                  <w14:solidFill>
                    <w14:schemeClr w14:val="tx1"/>
                  </w14:solidFill>
                </w14:textFill>
              </w:rPr>
              <w:t>84</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7</w:t>
            </w:r>
            <w:r>
              <w:rPr>
                <w:rFonts w:ascii="Times New Roman" w:hAnsi="Times New Roman" w:eastAsia="仿宋_GB2312"/>
                <w:kern w:val="0"/>
                <w:sz w:val="24"/>
                <w:szCs w:val="24"/>
              </w:rPr>
              <w:t>99</w:t>
            </w:r>
          </w:p>
        </w:tc>
        <w:tc>
          <w:tcPr>
            <w:tcW w:w="787" w:type="pct"/>
            <w:tcBorders>
              <w:top w:val="nil"/>
              <w:left w:val="nil"/>
              <w:bottom w:val="single" w:color="auto" w:sz="4" w:space="0"/>
              <w:right w:val="single" w:color="auto" w:sz="4" w:space="0"/>
            </w:tcBorders>
            <w:shd w:val="clear" w:color="000000" w:fill="FFFFFF"/>
          </w:tcPr>
          <w:p>
            <w:pPr>
              <w:widowControl/>
              <w:jc w:val="center"/>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72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kern w:val="0"/>
                <w:sz w:val="24"/>
                <w:szCs w:val="24"/>
              </w:rPr>
            </w:pPr>
            <w:r>
              <w:rPr>
                <w:rFonts w:ascii="Times New Roman" w:hAnsi="Times New Roman" w:eastAsia="仿宋_GB2312"/>
                <w:kern w:val="0"/>
                <w:sz w:val="24"/>
                <w:szCs w:val="24"/>
              </w:rPr>
              <w:t>B类:到西部地区</w:t>
            </w:r>
            <w:r>
              <w:rPr>
                <w:rFonts w:ascii="Times New Roman" w:hAnsi="Times New Roman" w:eastAsia="仿宋_GB2312"/>
                <w:w w:val="94"/>
                <w:kern w:val="0"/>
                <w:sz w:val="24"/>
                <w:szCs w:val="24"/>
              </w:rPr>
              <w:t>和东北地区就业人数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8</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3</w:t>
            </w:r>
          </w:p>
        </w:tc>
        <w:tc>
          <w:tcPr>
            <w:tcW w:w="787"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67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kern w:val="0"/>
                <w:sz w:val="24"/>
                <w:szCs w:val="24"/>
              </w:rPr>
            </w:pPr>
            <w:r>
              <w:rPr>
                <w:rFonts w:ascii="Times New Roman" w:hAnsi="Times New Roman" w:eastAsia="仿宋_GB2312"/>
                <w:kern w:val="0"/>
                <w:sz w:val="24"/>
                <w:szCs w:val="24"/>
              </w:rPr>
              <w:t>C类:到规模以下</w:t>
            </w:r>
            <w:r>
              <w:rPr>
                <w:rFonts w:ascii="Times New Roman" w:hAnsi="Times New Roman" w:eastAsia="仿宋_GB2312"/>
                <w:w w:val="94"/>
                <w:kern w:val="0"/>
                <w:sz w:val="24"/>
                <w:szCs w:val="24"/>
              </w:rPr>
              <w:t>企业等基层服务人数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9</w:t>
            </w:r>
            <w:r>
              <w:rPr>
                <w:rFonts w:ascii="Times New Roman" w:hAnsi="Times New Roman" w:eastAsia="仿宋_GB2312"/>
                <w:kern w:val="0"/>
                <w:sz w:val="24"/>
                <w:szCs w:val="24"/>
              </w:rPr>
              <w:t>56</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522</w:t>
            </w:r>
          </w:p>
        </w:tc>
        <w:tc>
          <w:tcPr>
            <w:tcW w:w="787" w:type="pct"/>
            <w:vMerge w:val="restart"/>
            <w:tcBorders>
              <w:top w:val="nil"/>
              <w:left w:val="nil"/>
              <w:right w:val="single" w:color="auto" w:sz="4" w:space="0"/>
            </w:tcBorders>
            <w:shd w:val="clear" w:color="000000" w:fill="FFFFFF"/>
          </w:tcPr>
          <w:p>
            <w:pPr>
              <w:widowControl/>
              <w:jc w:val="left"/>
              <w:rPr>
                <w:rFonts w:ascii="Times New Roman" w:hAnsi="Times New Roman" w:eastAsia="仿宋_GB2312"/>
                <w:color w:val="FF0000"/>
                <w:kern w:val="0"/>
                <w:sz w:val="24"/>
                <w:szCs w:val="24"/>
              </w:rPr>
            </w:pPr>
          </w:p>
        </w:tc>
      </w:tr>
      <w:tr>
        <w:tblPrEx>
          <w:tblCellMar>
            <w:top w:w="0" w:type="dxa"/>
            <w:left w:w="108" w:type="dxa"/>
            <w:bottom w:w="0" w:type="dxa"/>
            <w:right w:w="108" w:type="dxa"/>
          </w:tblCellMar>
        </w:tblPrEx>
        <w:trPr>
          <w:trHeight w:val="68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kern w:val="0"/>
                <w:sz w:val="24"/>
                <w:szCs w:val="24"/>
              </w:rPr>
            </w:pPr>
            <w:r>
              <w:rPr>
                <w:rFonts w:ascii="Times New Roman" w:hAnsi="Times New Roman" w:eastAsia="仿宋_GB2312"/>
                <w:kern w:val="0"/>
                <w:sz w:val="24"/>
                <w:szCs w:val="24"/>
              </w:rPr>
              <w:t>D类:到规模以上企业就业人数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4</w:t>
            </w:r>
          </w:p>
        </w:tc>
        <w:tc>
          <w:tcPr>
            <w:tcW w:w="787" w:type="pct"/>
            <w:vMerge w:val="continue"/>
            <w:tcBorders>
              <w:top w:val="nil"/>
              <w:left w:val="nil"/>
              <w:right w:val="single" w:color="auto" w:sz="4" w:space="0"/>
            </w:tcBorders>
            <w:shd w:val="clear" w:color="000000" w:fill="FFFFFF"/>
          </w:tcPr>
          <w:p>
            <w:pPr>
              <w:widowControl/>
              <w:jc w:val="left"/>
              <w:rPr>
                <w:rFonts w:ascii="Times New Roman" w:hAnsi="Times New Roman" w:eastAsia="仿宋_GB2312"/>
                <w:color w:val="FF0000"/>
                <w:kern w:val="0"/>
                <w:sz w:val="24"/>
                <w:szCs w:val="24"/>
              </w:rPr>
            </w:pPr>
          </w:p>
        </w:tc>
      </w:tr>
      <w:tr>
        <w:tblPrEx>
          <w:tblCellMar>
            <w:top w:w="0" w:type="dxa"/>
            <w:left w:w="108" w:type="dxa"/>
            <w:bottom w:w="0" w:type="dxa"/>
            <w:right w:w="108" w:type="dxa"/>
          </w:tblCellMar>
        </w:tblPrEx>
        <w:trPr>
          <w:trHeight w:val="724"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vAlign w:val="center"/>
          </w:tcPr>
          <w:p>
            <w:pPr>
              <w:widowControl/>
              <w:ind w:firstLine="240" w:firstLineChars="100"/>
              <w:jc w:val="left"/>
              <w:rPr>
                <w:rFonts w:ascii="Times New Roman" w:hAnsi="Times New Roman" w:eastAsia="仿宋_GB2312"/>
                <w:kern w:val="0"/>
                <w:sz w:val="24"/>
                <w:szCs w:val="24"/>
              </w:rPr>
            </w:pPr>
            <w:r>
              <w:rPr>
                <w:rFonts w:ascii="Times New Roman" w:hAnsi="Times New Roman" w:eastAsia="仿宋_GB2312"/>
                <w:kern w:val="0"/>
                <w:sz w:val="24"/>
                <w:szCs w:val="24"/>
              </w:rPr>
              <w:t>其中:到500强企业就业人数</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0</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3</w:t>
            </w:r>
          </w:p>
        </w:tc>
        <w:tc>
          <w:tcPr>
            <w:tcW w:w="787" w:type="pct"/>
            <w:vMerge w:val="continue"/>
            <w:tcBorders>
              <w:left w:val="nil"/>
              <w:bottom w:val="single" w:color="auto" w:sz="4" w:space="0"/>
              <w:right w:val="single" w:color="auto" w:sz="4" w:space="0"/>
            </w:tcBorders>
            <w:shd w:val="clear" w:color="000000" w:fill="FFFFFF"/>
          </w:tcPr>
          <w:p>
            <w:pPr>
              <w:widowControl/>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6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restart"/>
            <w:tcBorders>
              <w:top w:val="nil"/>
              <w:left w:val="nil"/>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w w:val="94"/>
                <w:kern w:val="0"/>
                <w:sz w:val="24"/>
                <w:szCs w:val="24"/>
              </w:rPr>
              <w:t>横向技术服务到款额</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万元</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787"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continue"/>
            <w:tcBorders>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横向技术服务产生的经济效益</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万元</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0</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787" w:type="pct"/>
            <w:tcBorders>
              <w:top w:val="nil"/>
              <w:left w:val="nil"/>
              <w:bottom w:val="single" w:color="auto" w:sz="4" w:space="0"/>
              <w:right w:val="single" w:color="auto" w:sz="4" w:space="0"/>
            </w:tcBorders>
            <w:shd w:val="clear" w:color="000000" w:fill="FFFFFF"/>
          </w:tcPr>
          <w:p>
            <w:pPr>
              <w:widowControl/>
              <w:rPr>
                <w:rFonts w:ascii="Times New Roman" w:hAnsi="Times New Roman" w:eastAsia="仿宋_GB2312"/>
                <w:kern w:val="0"/>
                <w:sz w:val="24"/>
                <w:szCs w:val="24"/>
              </w:rPr>
            </w:pPr>
            <w:r>
              <w:rPr>
                <w:rFonts w:ascii="Times New Roman" w:hAnsi="Times New Roman" w:eastAsia="仿宋_GB2312"/>
                <w:kern w:val="0"/>
                <w:sz w:val="24"/>
                <w:szCs w:val="24"/>
              </w:rPr>
              <w:t>提供产生经济效益的企业出具的证明，并盖财务章。</w:t>
            </w: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w w:val="94"/>
                <w:kern w:val="0"/>
                <w:sz w:val="24"/>
                <w:szCs w:val="24"/>
              </w:rPr>
              <w:t>纵向科研经费到款额</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万元</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8</w:t>
            </w:r>
            <w:r>
              <w:rPr>
                <w:rFonts w:ascii="Times New Roman" w:hAnsi="Times New Roman" w:eastAsia="仿宋_GB2312"/>
                <w:color w:val="000000" w:themeColor="text1"/>
                <w:kern w:val="0"/>
                <w:sz w:val="24"/>
                <w:szCs w:val="24"/>
                <w14:textFill>
                  <w14:solidFill>
                    <w14:schemeClr w14:val="tx1"/>
                  </w14:solidFill>
                </w14:textFill>
              </w:rPr>
              <w:t>19.08</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58.2</w:t>
            </w:r>
          </w:p>
        </w:tc>
        <w:tc>
          <w:tcPr>
            <w:tcW w:w="787"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技术交易到款额</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万元</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80.2</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52.3</w:t>
            </w:r>
          </w:p>
        </w:tc>
        <w:tc>
          <w:tcPr>
            <w:tcW w:w="787"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FF0000"/>
                <w:kern w:val="0"/>
                <w:sz w:val="24"/>
                <w:szCs w:val="24"/>
                <w:highlight w:val="yellow"/>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restart"/>
            <w:tcBorders>
              <w:top w:val="nil"/>
              <w:left w:val="nil"/>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r>
              <w:rPr>
                <w:rFonts w:ascii="Times New Roman" w:hAnsi="Times New Roman" w:eastAsia="仿宋_GB2312"/>
                <w:kern w:val="0"/>
                <w:sz w:val="24"/>
                <w:szCs w:val="24"/>
              </w:rPr>
              <w:t>专利申请/授权数量</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项/项</w:t>
            </w:r>
          </w:p>
        </w:tc>
        <w:tc>
          <w:tcPr>
            <w:tcW w:w="660" w:type="pct"/>
            <w:vMerge w:val="restart"/>
            <w:tcBorders>
              <w:top w:val="nil"/>
              <w:left w:val="nil"/>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651" w:type="pct"/>
            <w:tcBorders>
              <w:top w:val="nil"/>
              <w:left w:val="nil"/>
              <w:bottom w:val="single" w:color="auto" w:sz="4" w:space="0"/>
              <w:right w:val="single" w:color="auto" w:sz="4" w:space="0"/>
            </w:tcBorders>
            <w:shd w:val="clear" w:color="000000" w:fill="FFFFFF"/>
          </w:tcPr>
          <w:p>
            <w:pPr>
              <w:widowControl/>
              <w:adjustRightInd w:val="0"/>
              <w:snapToGrid w:val="0"/>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787" w:type="pct"/>
            <w:vMerge w:val="restart"/>
            <w:tcBorders>
              <w:top w:val="nil"/>
              <w:left w:val="nil"/>
              <w:right w:val="single" w:color="auto" w:sz="4" w:space="0"/>
            </w:tcBorders>
            <w:shd w:val="clear" w:color="000000" w:fill="FFFFFF"/>
            <w:vAlign w:val="center"/>
          </w:tcPr>
          <w:p>
            <w:pPr>
              <w:adjustRightInd w:val="0"/>
              <w:snapToGrid w:val="0"/>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vMerge w:val="continue"/>
            <w:tcBorders>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r>
              <w:rPr>
                <w:rFonts w:ascii="Times New Roman" w:hAnsi="Times New Roman" w:eastAsia="仿宋_GB2312"/>
                <w:kern w:val="0"/>
                <w:sz w:val="24"/>
                <w:szCs w:val="24"/>
              </w:rPr>
              <w:t>其中：发明专利申请/授权数量</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项/项</w:t>
            </w:r>
          </w:p>
        </w:tc>
        <w:tc>
          <w:tcPr>
            <w:tcW w:w="660" w:type="pct"/>
            <w:vMerge w:val="continue"/>
            <w:tcBorders>
              <w:left w:val="nil"/>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p>
        </w:tc>
        <w:tc>
          <w:tcPr>
            <w:tcW w:w="651" w:type="pct"/>
            <w:tcBorders>
              <w:top w:val="nil"/>
              <w:left w:val="nil"/>
              <w:bottom w:val="single" w:color="auto" w:sz="4" w:space="0"/>
              <w:right w:val="single" w:color="auto" w:sz="4" w:space="0"/>
            </w:tcBorders>
            <w:shd w:val="clear" w:color="000000" w:fill="FFFFFF"/>
          </w:tcPr>
          <w:p>
            <w:pPr>
              <w:widowControl/>
              <w:adjustRightInd w:val="0"/>
              <w:snapToGrid w:val="0"/>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787" w:type="pct"/>
            <w:vMerge w:val="continue"/>
            <w:tcBorders>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r>
              <w:rPr>
                <w:rFonts w:ascii="Times New Roman" w:hAnsi="Times New Roman" w:eastAsia="仿宋_GB2312"/>
                <w:kern w:val="0"/>
                <w:sz w:val="24"/>
                <w:szCs w:val="24"/>
              </w:rPr>
              <w:t>专利成果转化数量</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项</w:t>
            </w:r>
          </w:p>
        </w:tc>
        <w:tc>
          <w:tcPr>
            <w:tcW w:w="660" w:type="pct"/>
            <w:vMerge w:val="continue"/>
            <w:tcBorders>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p>
        </w:tc>
        <w:tc>
          <w:tcPr>
            <w:tcW w:w="651" w:type="pct"/>
            <w:tcBorders>
              <w:top w:val="nil"/>
              <w:left w:val="nil"/>
              <w:bottom w:val="single" w:color="auto" w:sz="4" w:space="0"/>
              <w:right w:val="single" w:color="auto" w:sz="4" w:space="0"/>
            </w:tcBorders>
            <w:shd w:val="clear" w:color="000000" w:fill="FFFFFF"/>
          </w:tcPr>
          <w:p>
            <w:pPr>
              <w:widowControl/>
              <w:adjustRightInd w:val="0"/>
              <w:snapToGrid w:val="0"/>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787"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r>
              <w:rPr>
                <w:rFonts w:ascii="Times New Roman" w:hAnsi="Times New Roman" w:eastAsia="仿宋_GB2312"/>
                <w:w w:val="94"/>
                <w:kern w:val="0"/>
                <w:sz w:val="24"/>
                <w:szCs w:val="24"/>
              </w:rPr>
              <w:t>专利成果转化到款额</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万元</w:t>
            </w:r>
          </w:p>
        </w:tc>
        <w:tc>
          <w:tcPr>
            <w:tcW w:w="660"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r>
              <w:rPr>
                <w:rFonts w:ascii="Times New Roman" w:hAnsi="Times New Roman" w:eastAsia="仿宋_GB2312"/>
                <w:kern w:val="0"/>
                <w:sz w:val="24"/>
                <w:szCs w:val="24"/>
              </w:rPr>
              <w:t>0</w:t>
            </w:r>
          </w:p>
        </w:tc>
        <w:tc>
          <w:tcPr>
            <w:tcW w:w="651" w:type="pct"/>
            <w:tcBorders>
              <w:top w:val="nil"/>
              <w:left w:val="nil"/>
              <w:bottom w:val="single" w:color="auto" w:sz="4" w:space="0"/>
              <w:right w:val="single" w:color="auto" w:sz="4" w:space="0"/>
            </w:tcBorders>
            <w:shd w:val="clear" w:color="000000" w:fill="FFFFFF"/>
          </w:tcPr>
          <w:p>
            <w:pPr>
              <w:widowControl/>
              <w:adjustRightInd w:val="0"/>
              <w:snapToGrid w:val="0"/>
              <w:jc w:val="left"/>
              <w:rPr>
                <w:rFonts w:ascii="Times New Roman" w:hAnsi="Times New Roman" w:eastAsia="仿宋_GB2312"/>
                <w:kern w:val="0"/>
                <w:sz w:val="24"/>
                <w:szCs w:val="24"/>
              </w:rPr>
            </w:pPr>
            <w:r>
              <w:rPr>
                <w:rFonts w:ascii="Times New Roman" w:hAnsi="Times New Roman" w:eastAsia="仿宋_GB2312"/>
                <w:kern w:val="0"/>
                <w:sz w:val="24"/>
                <w:szCs w:val="24"/>
              </w:rPr>
              <w:t>0</w:t>
            </w:r>
          </w:p>
        </w:tc>
        <w:tc>
          <w:tcPr>
            <w:tcW w:w="787"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FF0000"/>
                <w:kern w:val="0"/>
                <w:sz w:val="24"/>
                <w:szCs w:val="24"/>
                <w:highlight w:val="yellow"/>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w:t>
            </w:r>
          </w:p>
        </w:tc>
        <w:tc>
          <w:tcPr>
            <w:tcW w:w="1331"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非学历培训项目数</w:t>
            </w:r>
          </w:p>
        </w:tc>
        <w:tc>
          <w:tcPr>
            <w:tcW w:w="462" w:type="pct"/>
            <w:tcBorders>
              <w:top w:val="nil"/>
              <w:left w:val="nil"/>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w:t>
            </w:r>
          </w:p>
        </w:tc>
        <w:tc>
          <w:tcPr>
            <w:tcW w:w="660"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r>
              <w:rPr>
                <w:rFonts w:ascii="Times New Roman" w:hAnsi="Times New Roman" w:eastAsia="仿宋_GB2312"/>
                <w:kern w:val="0"/>
                <w:sz w:val="24"/>
                <w:szCs w:val="24"/>
              </w:rPr>
              <w:t>37</w:t>
            </w:r>
          </w:p>
        </w:tc>
        <w:tc>
          <w:tcPr>
            <w:tcW w:w="651" w:type="pct"/>
            <w:tcBorders>
              <w:top w:val="nil"/>
              <w:left w:val="nil"/>
              <w:bottom w:val="single" w:color="auto" w:sz="4" w:space="0"/>
              <w:right w:val="single" w:color="auto" w:sz="4" w:space="0"/>
            </w:tcBorders>
            <w:shd w:val="clear" w:color="000000" w:fill="FFFFFF"/>
          </w:tcPr>
          <w:p>
            <w:pPr>
              <w:widowControl/>
              <w:adjustRightInd w:val="0"/>
              <w:snapToGrid w:val="0"/>
              <w:jc w:val="left"/>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787"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FF0000"/>
                <w:kern w:val="0"/>
                <w:sz w:val="24"/>
                <w:szCs w:val="24"/>
                <w:highlight w:val="yellow"/>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非学历培训</w:t>
            </w:r>
            <w:r>
              <w:rPr>
                <w:rFonts w:hint="eastAsia" w:ascii="Times New Roman" w:hAnsi="Times New Roman" w:eastAsia="仿宋_GB2312"/>
                <w:kern w:val="0"/>
                <w:sz w:val="24"/>
                <w:szCs w:val="24"/>
              </w:rPr>
              <w:t>时间</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学时</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1048</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1248</w:t>
            </w:r>
          </w:p>
        </w:tc>
        <w:tc>
          <w:tcPr>
            <w:tcW w:w="787"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w w:val="94"/>
                <w:kern w:val="0"/>
                <w:sz w:val="24"/>
                <w:szCs w:val="24"/>
              </w:rPr>
              <w:t>非学历培训</w:t>
            </w:r>
            <w:r>
              <w:rPr>
                <w:rFonts w:hint="eastAsia" w:ascii="Times New Roman" w:hAnsi="Times New Roman" w:eastAsia="仿宋_GB2312"/>
                <w:w w:val="94"/>
                <w:kern w:val="0"/>
                <w:sz w:val="24"/>
                <w:szCs w:val="24"/>
              </w:rPr>
              <w:t>到账经费</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万元</w:t>
            </w:r>
          </w:p>
        </w:tc>
        <w:tc>
          <w:tcPr>
            <w:tcW w:w="660"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color w:val="000000" w:themeColor="text1"/>
                <w:kern w:val="0"/>
                <w:sz w:val="24"/>
                <w:szCs w:val="24"/>
                <w14:textFill>
                  <w14:solidFill>
                    <w14:schemeClr w14:val="tx1"/>
                  </w14:solidFill>
                </w14:textFill>
              </w:rPr>
            </w:pPr>
            <w:r>
              <w:rPr>
                <w:rFonts w:ascii="Times New Roman" w:hAnsi="Times New Roman" w:eastAsia="仿宋_GB2312"/>
                <w:color w:val="000000" w:themeColor="text1"/>
                <w:kern w:val="0"/>
                <w:sz w:val="24"/>
                <w:szCs w:val="24"/>
                <w14:textFill>
                  <w14:solidFill>
                    <w14:schemeClr w14:val="tx1"/>
                  </w14:solidFill>
                </w14:textFill>
              </w:rPr>
              <w:t>286.43</w:t>
            </w:r>
          </w:p>
        </w:tc>
        <w:tc>
          <w:tcPr>
            <w:tcW w:w="65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71.71</w:t>
            </w:r>
          </w:p>
        </w:tc>
        <w:tc>
          <w:tcPr>
            <w:tcW w:w="787"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421" w:hRule="atLeast"/>
          <w:jc w:val="center"/>
        </w:trPr>
        <w:tc>
          <w:tcPr>
            <w:tcW w:w="432"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274"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w:t>
            </w:r>
            <w:r>
              <w:rPr>
                <w:rFonts w:hint="eastAsia" w:ascii="Times New Roman" w:hAnsi="Times New Roman" w:eastAsia="仿宋_GB2312"/>
                <w:kern w:val="0"/>
                <w:sz w:val="24"/>
                <w:szCs w:val="24"/>
              </w:rPr>
              <w:t>1</w:t>
            </w:r>
          </w:p>
        </w:tc>
        <w:tc>
          <w:tcPr>
            <w:tcW w:w="1331"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公益性培训服务</w:t>
            </w:r>
          </w:p>
        </w:tc>
        <w:tc>
          <w:tcPr>
            <w:tcW w:w="462" w:type="pct"/>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学时</w:t>
            </w:r>
          </w:p>
        </w:tc>
        <w:tc>
          <w:tcPr>
            <w:tcW w:w="660"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7</w:t>
            </w:r>
            <w:r>
              <w:rPr>
                <w:rFonts w:ascii="Times New Roman" w:hAnsi="Times New Roman" w:eastAsia="仿宋_GB2312"/>
                <w:kern w:val="0"/>
                <w:sz w:val="24"/>
                <w:szCs w:val="24"/>
              </w:rPr>
              <w:t>6</w:t>
            </w:r>
          </w:p>
        </w:tc>
        <w:tc>
          <w:tcPr>
            <w:tcW w:w="651" w:type="pct"/>
            <w:tcBorders>
              <w:top w:val="nil"/>
              <w:left w:val="nil"/>
              <w:bottom w:val="single" w:color="auto" w:sz="4" w:space="0"/>
              <w:right w:val="single" w:color="auto" w:sz="4" w:space="0"/>
            </w:tcBorders>
            <w:shd w:val="clear" w:color="000000" w:fill="FFFFFF"/>
          </w:tcPr>
          <w:p>
            <w:pPr>
              <w:widowControl/>
              <w:adjustRightInd w:val="0"/>
              <w:snapToGrid w:val="0"/>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8</w:t>
            </w:r>
            <w:r>
              <w:rPr>
                <w:rFonts w:ascii="Times New Roman" w:hAnsi="Times New Roman" w:eastAsia="仿宋_GB2312"/>
                <w:kern w:val="0"/>
                <w:sz w:val="24"/>
                <w:szCs w:val="24"/>
              </w:rPr>
              <w:t>8</w:t>
            </w:r>
          </w:p>
        </w:tc>
        <w:tc>
          <w:tcPr>
            <w:tcW w:w="787" w:type="pct"/>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Times New Roman" w:hAnsi="Times New Roman" w:eastAsia="仿宋_GB2312"/>
                <w:kern w:val="0"/>
                <w:sz w:val="24"/>
                <w:szCs w:val="24"/>
              </w:rPr>
            </w:pPr>
          </w:p>
        </w:tc>
      </w:tr>
      <w:tr>
        <w:tblPrEx>
          <w:tblCellMar>
            <w:top w:w="0" w:type="dxa"/>
            <w:left w:w="108" w:type="dxa"/>
            <w:bottom w:w="0" w:type="dxa"/>
            <w:right w:w="108" w:type="dxa"/>
          </w:tblCellMar>
        </w:tblPrEx>
        <w:trPr>
          <w:trHeight w:val="874" w:hRule="atLeast"/>
          <w:jc w:val="center"/>
        </w:trPr>
        <w:tc>
          <w:tcPr>
            <w:tcW w:w="432"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404"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4"/>
                <w:szCs w:val="24"/>
              </w:rPr>
            </w:pPr>
          </w:p>
        </w:tc>
        <w:tc>
          <w:tcPr>
            <w:tcW w:w="3377" w:type="pct"/>
            <w:gridSpan w:val="5"/>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仿宋_GB2312"/>
                <w:kern w:val="0"/>
                <w:sz w:val="24"/>
                <w:szCs w:val="24"/>
              </w:rPr>
            </w:pPr>
            <w:r>
              <w:rPr>
                <w:rFonts w:ascii="Times New Roman" w:hAnsi="Times New Roman" w:eastAsia="仿宋_GB2312"/>
                <w:kern w:val="0"/>
                <w:sz w:val="24"/>
                <w:szCs w:val="24"/>
              </w:rPr>
              <w:t>主要办学经费来源（单选）：省级财政（</w:t>
            </w:r>
            <w:r>
              <w:rPr>
                <w:rFonts w:hint="eastAsia" w:ascii="Times New Roman" w:hAnsi="Times New Roman" w:eastAsia="仿宋_GB2312"/>
                <w:kern w:val="0"/>
                <w:sz w:val="24"/>
                <w:szCs w:val="24"/>
              </w:rPr>
              <w:t>√</w:t>
            </w:r>
            <w:r>
              <w:rPr>
                <w:rFonts w:ascii="Times New Roman" w:hAnsi="Times New Roman" w:eastAsia="仿宋_GB2312"/>
                <w:kern w:val="0"/>
                <w:sz w:val="24"/>
                <w:szCs w:val="24"/>
              </w:rPr>
              <w:t>）   地市级财政（）  区县级财政（）  行业企业（）     其他（）</w:t>
            </w:r>
          </w:p>
        </w:tc>
        <w:tc>
          <w:tcPr>
            <w:tcW w:w="787" w:type="pct"/>
            <w:tcBorders>
              <w:top w:val="nil"/>
              <w:left w:val="nil"/>
              <w:bottom w:val="single" w:color="auto" w:sz="4" w:space="0"/>
              <w:right w:val="single" w:color="auto" w:sz="4" w:space="0"/>
            </w:tcBorders>
            <w:shd w:val="clear" w:color="000000" w:fill="FFFFFF"/>
          </w:tcPr>
          <w:p>
            <w:pPr>
              <w:widowControl/>
              <w:jc w:val="left"/>
              <w:rPr>
                <w:rFonts w:ascii="Times New Roman" w:hAnsi="Times New Roman" w:eastAsia="仿宋_GB2312"/>
                <w:color w:val="FF0000"/>
                <w:kern w:val="0"/>
                <w:sz w:val="24"/>
                <w:szCs w:val="24"/>
              </w:rPr>
            </w:pPr>
          </w:p>
        </w:tc>
      </w:tr>
    </w:tbl>
    <w:p>
      <w:pPr>
        <w:jc w:val="right"/>
        <w:rPr>
          <w:rFonts w:hint="eastAsia" w:ascii="楷体" w:hAnsi="楷体" w:eastAsia="楷体"/>
          <w:sz w:val="24"/>
          <w:szCs w:val="24"/>
        </w:rPr>
      </w:pPr>
      <w:r>
        <w:rPr>
          <w:rFonts w:hint="eastAsia" w:ascii="楷体" w:hAnsi="楷体" w:eastAsia="楷体"/>
          <w:sz w:val="24"/>
          <w:szCs w:val="24"/>
        </w:rPr>
        <w:t xml:space="preserve"> </w:t>
      </w:r>
      <w:r>
        <w:rPr>
          <w:rFonts w:ascii="楷体" w:hAnsi="楷体" w:eastAsia="楷体"/>
          <w:sz w:val="24"/>
          <w:szCs w:val="24"/>
        </w:rPr>
        <w:t xml:space="preserve"> </w:t>
      </w:r>
      <w:r>
        <w:rPr>
          <w:rFonts w:hint="eastAsia" w:ascii="楷体" w:hAnsi="楷体" w:eastAsia="楷体"/>
          <w:sz w:val="24"/>
          <w:szCs w:val="24"/>
        </w:rPr>
        <w:t>数据来源：高等职业院校人才培养工作状态数据采集与管理系统</w:t>
      </w: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jc w:val="left"/>
        <w:rPr>
          <w:rFonts w:ascii="仿宋" w:hAnsi="仿宋"/>
          <w:szCs w:val="32"/>
        </w:rPr>
      </w:pPr>
    </w:p>
    <w:p>
      <w:pPr>
        <w:autoSpaceDE w:val="0"/>
        <w:autoSpaceDN w:val="0"/>
        <w:spacing w:before="190"/>
        <w:jc w:val="left"/>
        <w:rPr>
          <w:rFonts w:hint="eastAsia" w:ascii="仿宋" w:hAnsi="仿宋"/>
          <w:szCs w:val="32"/>
        </w:rPr>
      </w:pPr>
    </w:p>
    <w:p>
      <w:pPr>
        <w:pStyle w:val="2"/>
      </w:pPr>
      <w:bookmarkStart w:id="92" w:name="_Toc25614"/>
      <w:r>
        <w:t xml:space="preserve">表6 </w:t>
      </w:r>
      <w:r>
        <w:rPr>
          <w:rFonts w:hint="eastAsia"/>
        </w:rPr>
        <w:t xml:space="preserve"> </w:t>
      </w:r>
      <w:r>
        <w:t>落实政策表</w:t>
      </w:r>
      <w:bookmarkEnd w:id="92"/>
    </w:p>
    <w:tbl>
      <w:tblPr>
        <w:tblStyle w:val="12"/>
        <w:tblW w:w="4998" w:type="pct"/>
        <w:jc w:val="center"/>
        <w:tblLayout w:type="autofit"/>
        <w:tblCellMar>
          <w:top w:w="0" w:type="dxa"/>
          <w:left w:w="108" w:type="dxa"/>
          <w:bottom w:w="0" w:type="dxa"/>
          <w:right w:w="108" w:type="dxa"/>
        </w:tblCellMar>
      </w:tblPr>
      <w:tblGrid>
        <w:gridCol w:w="881"/>
        <w:gridCol w:w="1208"/>
        <w:gridCol w:w="397"/>
        <w:gridCol w:w="3170"/>
        <w:gridCol w:w="714"/>
        <w:gridCol w:w="1074"/>
        <w:gridCol w:w="1075"/>
      </w:tblGrid>
      <w:tr>
        <w:tblPrEx>
          <w:tblCellMar>
            <w:top w:w="0" w:type="dxa"/>
            <w:left w:w="108" w:type="dxa"/>
            <w:bottom w:w="0" w:type="dxa"/>
            <w:right w:w="108" w:type="dxa"/>
          </w:tblCellMar>
        </w:tblPrEx>
        <w:trPr>
          <w:trHeight w:val="480" w:hRule="atLeast"/>
          <w:jc w:val="center"/>
        </w:trPr>
        <w:tc>
          <w:tcPr>
            <w:tcW w:w="51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院校</w:t>
            </w:r>
          </w:p>
          <w:p>
            <w:pPr>
              <w:widowControl/>
              <w:spacing w:line="36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代码</w:t>
            </w:r>
          </w:p>
        </w:tc>
        <w:tc>
          <w:tcPr>
            <w:tcW w:w="711" w:type="pct"/>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院校名称</w:t>
            </w:r>
          </w:p>
        </w:tc>
        <w:tc>
          <w:tcPr>
            <w:tcW w:w="2084" w:type="pct"/>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指标</w:t>
            </w:r>
          </w:p>
        </w:tc>
        <w:tc>
          <w:tcPr>
            <w:tcW w:w="421" w:type="pct"/>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单位</w:t>
            </w:r>
          </w:p>
        </w:tc>
        <w:tc>
          <w:tcPr>
            <w:tcW w:w="632" w:type="pct"/>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2020年</w:t>
            </w:r>
          </w:p>
        </w:tc>
        <w:tc>
          <w:tcPr>
            <w:tcW w:w="632" w:type="pct"/>
            <w:tcBorders>
              <w:top w:val="single" w:color="auto" w:sz="4" w:space="0"/>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2021年</w:t>
            </w:r>
          </w:p>
        </w:tc>
      </w:tr>
      <w:tr>
        <w:tblPrEx>
          <w:tblCellMar>
            <w:top w:w="0" w:type="dxa"/>
            <w:left w:w="108" w:type="dxa"/>
            <w:bottom w:w="0" w:type="dxa"/>
            <w:right w:w="108" w:type="dxa"/>
          </w:tblCellMar>
        </w:tblPrEx>
        <w:trPr>
          <w:trHeight w:val="390" w:hRule="atLeast"/>
          <w:jc w:val="center"/>
        </w:trPr>
        <w:tc>
          <w:tcPr>
            <w:tcW w:w="519" w:type="pct"/>
            <w:vMerge w:val="restart"/>
            <w:tcBorders>
              <w:top w:val="single" w:color="auto" w:sz="4" w:space="0"/>
              <w:left w:val="single" w:color="auto" w:sz="4" w:space="0"/>
              <w:right w:val="single" w:color="auto" w:sz="4" w:space="0"/>
            </w:tcBorders>
            <w:shd w:val="clear" w:color="000000" w:fill="FFFFFF"/>
            <w:vAlign w:val="bottom"/>
          </w:tcPr>
          <w:p>
            <w:pPr>
              <w:widowControl/>
              <w:spacing w:line="360" w:lineRule="exact"/>
              <w:rPr>
                <w:rFonts w:ascii="Times New Roman" w:hAnsi="Times New Roman" w:eastAsia="仿宋_GB2312"/>
                <w:kern w:val="0"/>
                <w:sz w:val="24"/>
                <w:szCs w:val="24"/>
              </w:rPr>
            </w:pPr>
          </w:p>
        </w:tc>
        <w:tc>
          <w:tcPr>
            <w:tcW w:w="711" w:type="pct"/>
            <w:vMerge w:val="restart"/>
            <w:tcBorders>
              <w:top w:val="single" w:color="auto" w:sz="4" w:space="0"/>
              <w:left w:val="single" w:color="auto" w:sz="4" w:space="0"/>
              <w:right w:val="single" w:color="auto" w:sz="4" w:space="0"/>
            </w:tcBorders>
            <w:shd w:val="clear" w:color="000000" w:fill="FFFFFF"/>
            <w:vAlign w:val="bottom"/>
          </w:tcPr>
          <w:p>
            <w:pPr>
              <w:widowControl/>
              <w:spacing w:line="360" w:lineRule="exact"/>
              <w:rPr>
                <w:rFonts w:ascii="Times New Roman" w:hAnsi="Times New Roman" w:eastAsia="仿宋_GB2312"/>
                <w:kern w:val="0"/>
                <w:sz w:val="24"/>
                <w:szCs w:val="24"/>
              </w:rPr>
            </w:pPr>
          </w:p>
        </w:tc>
        <w:tc>
          <w:tcPr>
            <w:tcW w:w="235" w:type="pct"/>
            <w:vMerge w:val="restart"/>
            <w:tcBorders>
              <w:top w:val="nil"/>
              <w:left w:val="nil"/>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850" w:type="pct"/>
            <w:tcBorders>
              <w:top w:val="nil"/>
              <w:left w:val="nil"/>
              <w:bottom w:val="single" w:color="auto" w:sz="4" w:space="0"/>
              <w:right w:val="single" w:color="auto" w:sz="4" w:space="0"/>
            </w:tcBorders>
            <w:shd w:val="clear" w:color="auto" w:fill="auto"/>
            <w:noWrap/>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年生均财政拨款水平</w:t>
            </w:r>
          </w:p>
        </w:tc>
        <w:tc>
          <w:tcPr>
            <w:tcW w:w="421" w:type="pct"/>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元</w:t>
            </w:r>
          </w:p>
        </w:tc>
        <w:tc>
          <w:tcPr>
            <w:tcW w:w="632" w:type="pct"/>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w w:val="90"/>
                <w:kern w:val="0"/>
                <w:sz w:val="24"/>
                <w:szCs w:val="24"/>
              </w:rPr>
              <w:t>1</w:t>
            </w:r>
            <w:r>
              <w:rPr>
                <w:rFonts w:ascii="Times New Roman" w:hAnsi="Times New Roman" w:eastAsia="仿宋_GB2312"/>
                <w:w w:val="90"/>
                <w:kern w:val="0"/>
                <w:sz w:val="24"/>
                <w:szCs w:val="24"/>
              </w:rPr>
              <w:t>0629.52</w:t>
            </w:r>
          </w:p>
        </w:tc>
        <w:tc>
          <w:tcPr>
            <w:tcW w:w="632" w:type="pct"/>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ascii="Times New Roman" w:hAnsi="Times New Roman" w:eastAsia="仿宋_GB2312"/>
                <w:w w:val="90"/>
                <w:kern w:val="0"/>
                <w:sz w:val="24"/>
                <w:szCs w:val="24"/>
              </w:rPr>
            </w:pPr>
            <w:r>
              <w:rPr>
                <w:rFonts w:hint="eastAsia" w:ascii="Times New Roman" w:hAnsi="Times New Roman" w:eastAsia="仿宋_GB2312"/>
                <w:w w:val="90"/>
                <w:kern w:val="0"/>
                <w:sz w:val="24"/>
                <w:szCs w:val="24"/>
              </w:rPr>
              <w:t>1</w:t>
            </w:r>
            <w:r>
              <w:rPr>
                <w:rFonts w:ascii="Times New Roman" w:hAnsi="Times New Roman" w:eastAsia="仿宋_GB2312"/>
                <w:w w:val="90"/>
                <w:kern w:val="0"/>
                <w:sz w:val="24"/>
                <w:szCs w:val="24"/>
              </w:rPr>
              <w:t>0066.06</w:t>
            </w:r>
          </w:p>
        </w:tc>
      </w:tr>
      <w:tr>
        <w:tblPrEx>
          <w:tblCellMar>
            <w:top w:w="0" w:type="dxa"/>
            <w:left w:w="108" w:type="dxa"/>
            <w:bottom w:w="0" w:type="dxa"/>
            <w:right w:w="108" w:type="dxa"/>
          </w:tblCellMar>
        </w:tblPrEx>
        <w:trPr>
          <w:trHeight w:val="390"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continue"/>
            <w:tcBorders>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p>
        </w:tc>
        <w:tc>
          <w:tcPr>
            <w:tcW w:w="1850" w:type="pct"/>
            <w:tcBorders>
              <w:top w:val="nil"/>
              <w:left w:val="nil"/>
              <w:bottom w:val="single" w:color="auto" w:sz="4" w:space="0"/>
              <w:right w:val="single" w:color="auto" w:sz="4" w:space="0"/>
            </w:tcBorders>
            <w:shd w:val="clear" w:color="auto" w:fill="auto"/>
            <w:noWrap/>
            <w:vAlign w:val="center"/>
          </w:tcPr>
          <w:p>
            <w:pPr>
              <w:widowControl/>
              <w:spacing w:line="360" w:lineRule="exact"/>
              <w:ind w:firstLine="220" w:firstLineChars="100"/>
              <w:jc w:val="left"/>
              <w:rPr>
                <w:rFonts w:ascii="Times New Roman" w:hAnsi="Times New Roman" w:eastAsia="仿宋_GB2312"/>
                <w:w w:val="92"/>
                <w:kern w:val="0"/>
                <w:sz w:val="24"/>
                <w:szCs w:val="24"/>
              </w:rPr>
            </w:pPr>
            <w:r>
              <w:rPr>
                <w:rFonts w:ascii="Times New Roman" w:hAnsi="Times New Roman" w:eastAsia="仿宋_GB2312"/>
                <w:w w:val="92"/>
                <w:kern w:val="0"/>
                <w:sz w:val="24"/>
                <w:szCs w:val="24"/>
              </w:rPr>
              <w:t>其中：年生均财政专项经费</w:t>
            </w:r>
          </w:p>
        </w:tc>
        <w:tc>
          <w:tcPr>
            <w:tcW w:w="421" w:type="pct"/>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元</w:t>
            </w:r>
          </w:p>
        </w:tc>
        <w:tc>
          <w:tcPr>
            <w:tcW w:w="632"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936.97</w:t>
            </w:r>
          </w:p>
        </w:tc>
        <w:tc>
          <w:tcPr>
            <w:tcW w:w="632"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244.09</w:t>
            </w:r>
          </w:p>
        </w:tc>
      </w:tr>
      <w:tr>
        <w:tblPrEx>
          <w:tblCellMar>
            <w:top w:w="0" w:type="dxa"/>
            <w:left w:w="108" w:type="dxa"/>
            <w:bottom w:w="0" w:type="dxa"/>
            <w:right w:w="108" w:type="dxa"/>
          </w:tblCellMar>
        </w:tblPrEx>
        <w:trPr>
          <w:trHeight w:val="390"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restart"/>
            <w:tcBorders>
              <w:top w:val="nil"/>
              <w:left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850" w:type="pct"/>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教职员工额定编制数</w:t>
            </w:r>
          </w:p>
        </w:tc>
        <w:tc>
          <w:tcPr>
            <w:tcW w:w="421" w:type="pct"/>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32"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4</w:t>
            </w:r>
            <w:r>
              <w:rPr>
                <w:rFonts w:ascii="Times New Roman" w:hAnsi="Times New Roman" w:eastAsia="仿宋_GB2312"/>
                <w:color w:val="000000" w:themeColor="text1"/>
                <w:kern w:val="0"/>
                <w:sz w:val="24"/>
                <w:szCs w:val="24"/>
                <w14:textFill>
                  <w14:solidFill>
                    <w14:schemeClr w14:val="tx1"/>
                  </w14:solidFill>
                </w14:textFill>
              </w:rPr>
              <w:t>16</w:t>
            </w:r>
          </w:p>
        </w:tc>
        <w:tc>
          <w:tcPr>
            <w:tcW w:w="632" w:type="pct"/>
            <w:tcBorders>
              <w:top w:val="nil"/>
              <w:left w:val="nil"/>
              <w:bottom w:val="single" w:color="auto" w:sz="4" w:space="0"/>
              <w:right w:val="single" w:color="auto" w:sz="4" w:space="0"/>
            </w:tcBorders>
            <w:shd w:val="clear" w:color="000000" w:fill="FFFFFF"/>
            <w:vAlign w:val="center"/>
          </w:tcPr>
          <w:p>
            <w:pPr>
              <w:widowControl/>
              <w:spacing w:line="360" w:lineRule="exact"/>
              <w:rPr>
                <w:rFonts w:ascii="Times New Roman" w:hAnsi="Times New Roman" w:eastAsia="仿宋_GB2312"/>
                <w:color w:val="000000" w:themeColor="text1"/>
                <w:kern w:val="0"/>
                <w:sz w:val="24"/>
                <w:szCs w:val="24"/>
                <w14:textFill>
                  <w14:solidFill>
                    <w14:schemeClr w14:val="tx1"/>
                  </w14:solidFill>
                </w14:textFill>
              </w:rPr>
            </w:pPr>
            <w:r>
              <w:rPr>
                <w:rFonts w:hint="eastAsia" w:ascii="Times New Roman" w:hAnsi="Times New Roman" w:eastAsia="仿宋_GB2312"/>
                <w:color w:val="000000" w:themeColor="text1"/>
                <w:kern w:val="0"/>
                <w:sz w:val="24"/>
                <w:szCs w:val="24"/>
                <w14:textFill>
                  <w14:solidFill>
                    <w14:schemeClr w14:val="tx1"/>
                  </w14:solidFill>
                </w14:textFill>
              </w:rPr>
              <w:t>4</w:t>
            </w:r>
            <w:r>
              <w:rPr>
                <w:rFonts w:ascii="Times New Roman" w:hAnsi="Times New Roman" w:eastAsia="仿宋_GB2312"/>
                <w:color w:val="000000" w:themeColor="text1"/>
                <w:kern w:val="0"/>
                <w:sz w:val="24"/>
                <w:szCs w:val="24"/>
                <w14:textFill>
                  <w14:solidFill>
                    <w14:schemeClr w14:val="tx1"/>
                  </w14:solidFill>
                </w14:textFill>
              </w:rPr>
              <w:t>16</w:t>
            </w:r>
          </w:p>
        </w:tc>
      </w:tr>
      <w:tr>
        <w:tblPrEx>
          <w:tblCellMar>
            <w:top w:w="0" w:type="dxa"/>
            <w:left w:w="108" w:type="dxa"/>
            <w:bottom w:w="0" w:type="dxa"/>
            <w:right w:w="108" w:type="dxa"/>
          </w:tblCellMar>
        </w:tblPrEx>
        <w:trPr>
          <w:trHeight w:val="390"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1850" w:type="pct"/>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在岗教职员工总数</w:t>
            </w:r>
          </w:p>
        </w:tc>
        <w:tc>
          <w:tcPr>
            <w:tcW w:w="421" w:type="pct"/>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32" w:type="pct"/>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5</w:t>
            </w:r>
            <w:r>
              <w:rPr>
                <w:rFonts w:ascii="Times New Roman" w:hAnsi="Times New Roman" w:eastAsia="仿宋_GB2312"/>
                <w:kern w:val="0"/>
                <w:sz w:val="24"/>
                <w:szCs w:val="24"/>
              </w:rPr>
              <w:t>70</w:t>
            </w:r>
          </w:p>
        </w:tc>
        <w:tc>
          <w:tcPr>
            <w:tcW w:w="632" w:type="pct"/>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5</w:t>
            </w:r>
            <w:r>
              <w:rPr>
                <w:rFonts w:ascii="Times New Roman" w:hAnsi="Times New Roman" w:eastAsia="仿宋_GB2312"/>
                <w:kern w:val="0"/>
                <w:sz w:val="24"/>
                <w:szCs w:val="24"/>
              </w:rPr>
              <w:t>67</w:t>
            </w:r>
          </w:p>
        </w:tc>
      </w:tr>
      <w:tr>
        <w:tblPrEx>
          <w:tblCellMar>
            <w:top w:w="0" w:type="dxa"/>
            <w:left w:w="108" w:type="dxa"/>
            <w:bottom w:w="0" w:type="dxa"/>
            <w:right w:w="108" w:type="dxa"/>
          </w:tblCellMar>
        </w:tblPrEx>
        <w:trPr>
          <w:trHeight w:val="390"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continue"/>
            <w:tcBorders>
              <w:left w:val="single" w:color="auto" w:sz="4" w:space="0"/>
              <w:bottom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1850" w:type="pct"/>
            <w:tcBorders>
              <w:top w:val="nil"/>
              <w:left w:val="nil"/>
              <w:bottom w:val="single" w:color="auto" w:sz="4" w:space="0"/>
              <w:right w:val="single" w:color="auto" w:sz="4" w:space="0"/>
            </w:tcBorders>
            <w:shd w:val="clear" w:color="000000" w:fill="FFFFFF"/>
            <w:vAlign w:val="center"/>
          </w:tcPr>
          <w:p>
            <w:pPr>
              <w:widowControl/>
              <w:spacing w:line="360" w:lineRule="exact"/>
              <w:ind w:firstLine="240" w:firstLineChars="100"/>
              <w:jc w:val="left"/>
              <w:rPr>
                <w:rFonts w:ascii="Times New Roman" w:hAnsi="Times New Roman" w:eastAsia="仿宋_GB2312"/>
                <w:kern w:val="0"/>
                <w:sz w:val="24"/>
                <w:szCs w:val="24"/>
              </w:rPr>
            </w:pPr>
            <w:r>
              <w:rPr>
                <w:rFonts w:ascii="Times New Roman" w:hAnsi="Times New Roman" w:eastAsia="仿宋_GB2312"/>
                <w:kern w:val="0"/>
                <w:sz w:val="24"/>
                <w:szCs w:val="24"/>
              </w:rPr>
              <w:t>其中：专任教师总数</w:t>
            </w:r>
          </w:p>
        </w:tc>
        <w:tc>
          <w:tcPr>
            <w:tcW w:w="421" w:type="pct"/>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w:t>
            </w:r>
          </w:p>
        </w:tc>
        <w:tc>
          <w:tcPr>
            <w:tcW w:w="632" w:type="pct"/>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11</w:t>
            </w:r>
          </w:p>
        </w:tc>
        <w:tc>
          <w:tcPr>
            <w:tcW w:w="632" w:type="pct"/>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55</w:t>
            </w:r>
          </w:p>
        </w:tc>
      </w:tr>
      <w:tr>
        <w:tblPrEx>
          <w:tblCellMar>
            <w:top w:w="0" w:type="dxa"/>
            <w:left w:w="108" w:type="dxa"/>
            <w:bottom w:w="0" w:type="dxa"/>
            <w:right w:w="108" w:type="dxa"/>
          </w:tblCellMar>
        </w:tblPrEx>
        <w:trPr>
          <w:trHeight w:val="465"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85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w w:val="80"/>
                <w:kern w:val="0"/>
                <w:sz w:val="24"/>
                <w:szCs w:val="24"/>
              </w:rPr>
            </w:pPr>
            <w:r>
              <w:rPr>
                <w:rFonts w:ascii="Times New Roman" w:hAnsi="Times New Roman" w:eastAsia="仿宋_GB2312"/>
                <w:w w:val="80"/>
                <w:kern w:val="0"/>
                <w:sz w:val="24"/>
                <w:szCs w:val="24"/>
              </w:rPr>
              <w:t>企业提供的校内实践教学设备值</w:t>
            </w:r>
          </w:p>
        </w:tc>
        <w:tc>
          <w:tcPr>
            <w:tcW w:w="421"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万元</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51</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1</w:t>
            </w:r>
          </w:p>
        </w:tc>
      </w:tr>
      <w:tr>
        <w:tblPrEx>
          <w:tblCellMar>
            <w:top w:w="0" w:type="dxa"/>
            <w:left w:w="108" w:type="dxa"/>
            <w:bottom w:w="0" w:type="dxa"/>
            <w:right w:w="108" w:type="dxa"/>
          </w:tblCellMar>
        </w:tblPrEx>
        <w:trPr>
          <w:trHeight w:val="465"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restart"/>
            <w:tcBorders>
              <w:top w:val="single" w:color="auto" w:sz="4" w:space="0"/>
              <w:left w:val="nil"/>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85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生均</w:t>
            </w:r>
            <w:r>
              <w:rPr>
                <w:rFonts w:hint="eastAsia" w:ascii="Times New Roman" w:hAnsi="Times New Roman" w:eastAsia="仿宋_GB2312"/>
                <w:kern w:val="0"/>
                <w:sz w:val="24"/>
                <w:szCs w:val="24"/>
              </w:rPr>
              <w:t>企业</w:t>
            </w:r>
            <w:r>
              <w:rPr>
                <w:rFonts w:ascii="Times New Roman" w:hAnsi="Times New Roman" w:eastAsia="仿宋_GB2312"/>
                <w:kern w:val="0"/>
                <w:sz w:val="24"/>
                <w:szCs w:val="24"/>
              </w:rPr>
              <w:t>实习经费补贴</w:t>
            </w:r>
          </w:p>
        </w:tc>
        <w:tc>
          <w:tcPr>
            <w:tcW w:w="421"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元</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80</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60</w:t>
            </w:r>
          </w:p>
        </w:tc>
      </w:tr>
      <w:tr>
        <w:tblPrEx>
          <w:tblCellMar>
            <w:top w:w="0" w:type="dxa"/>
            <w:left w:w="108" w:type="dxa"/>
            <w:bottom w:w="0" w:type="dxa"/>
            <w:right w:w="108" w:type="dxa"/>
          </w:tblCellMar>
        </w:tblPrEx>
        <w:trPr>
          <w:trHeight w:val="465"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continue"/>
            <w:tcBorders>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p>
        </w:tc>
        <w:tc>
          <w:tcPr>
            <w:tcW w:w="185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ind w:firstLine="220" w:firstLineChars="100"/>
              <w:jc w:val="left"/>
              <w:rPr>
                <w:rFonts w:ascii="Times New Roman" w:hAnsi="Times New Roman" w:eastAsia="仿宋_GB2312"/>
                <w:kern w:val="0"/>
                <w:sz w:val="24"/>
                <w:szCs w:val="24"/>
              </w:rPr>
            </w:pPr>
            <w:r>
              <w:rPr>
                <w:rFonts w:ascii="Times New Roman" w:hAnsi="Times New Roman" w:eastAsia="仿宋_GB2312"/>
                <w:w w:val="92"/>
                <w:kern w:val="0"/>
                <w:sz w:val="24"/>
                <w:szCs w:val="24"/>
              </w:rPr>
              <w:t>其中：生均财政专项补贴</w:t>
            </w:r>
          </w:p>
        </w:tc>
        <w:tc>
          <w:tcPr>
            <w:tcW w:w="421"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元</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r>
      <w:tr>
        <w:tblPrEx>
          <w:tblCellMar>
            <w:top w:w="0" w:type="dxa"/>
            <w:left w:w="108" w:type="dxa"/>
            <w:bottom w:w="0" w:type="dxa"/>
            <w:right w:w="108" w:type="dxa"/>
          </w:tblCellMar>
        </w:tblPrEx>
        <w:trPr>
          <w:trHeight w:val="465"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restart"/>
            <w:tcBorders>
              <w:top w:val="nil"/>
              <w:left w:val="nil"/>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850"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ind w:firstLine="220" w:firstLineChars="100"/>
              <w:jc w:val="left"/>
              <w:rPr>
                <w:rFonts w:ascii="Times New Roman" w:hAnsi="Times New Roman" w:eastAsia="仿宋_GB2312"/>
                <w:kern w:val="0"/>
                <w:sz w:val="24"/>
                <w:szCs w:val="24"/>
              </w:rPr>
            </w:pPr>
            <w:r>
              <w:rPr>
                <w:rFonts w:ascii="Times New Roman" w:hAnsi="Times New Roman" w:eastAsia="仿宋_GB2312"/>
                <w:w w:val="92"/>
                <w:kern w:val="0"/>
                <w:sz w:val="24"/>
                <w:szCs w:val="24"/>
              </w:rPr>
              <w:t>生均企业实习责任保险补贴</w:t>
            </w:r>
          </w:p>
        </w:tc>
        <w:tc>
          <w:tcPr>
            <w:tcW w:w="421"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元</w:t>
            </w:r>
          </w:p>
        </w:tc>
        <w:tc>
          <w:tcPr>
            <w:tcW w:w="63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0</w:t>
            </w:r>
          </w:p>
        </w:tc>
        <w:tc>
          <w:tcPr>
            <w:tcW w:w="63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7</w:t>
            </w:r>
            <w:r>
              <w:rPr>
                <w:rFonts w:ascii="Times New Roman" w:hAnsi="Times New Roman" w:eastAsia="仿宋_GB2312"/>
                <w:kern w:val="0"/>
                <w:sz w:val="24"/>
                <w:szCs w:val="24"/>
              </w:rPr>
              <w:t>0</w:t>
            </w:r>
          </w:p>
        </w:tc>
      </w:tr>
      <w:tr>
        <w:tblPrEx>
          <w:tblCellMar>
            <w:top w:w="0" w:type="dxa"/>
            <w:left w:w="108" w:type="dxa"/>
            <w:bottom w:w="0" w:type="dxa"/>
            <w:right w:w="108" w:type="dxa"/>
          </w:tblCellMar>
        </w:tblPrEx>
        <w:trPr>
          <w:trHeight w:val="465"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continue"/>
            <w:tcBorders>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p>
        </w:tc>
        <w:tc>
          <w:tcPr>
            <w:tcW w:w="1850"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ind w:firstLine="220" w:firstLineChars="100"/>
              <w:jc w:val="left"/>
              <w:rPr>
                <w:rFonts w:ascii="Times New Roman" w:hAnsi="Times New Roman" w:eastAsia="仿宋_GB2312"/>
                <w:kern w:val="0"/>
                <w:sz w:val="24"/>
                <w:szCs w:val="24"/>
              </w:rPr>
            </w:pPr>
            <w:r>
              <w:rPr>
                <w:rFonts w:ascii="Times New Roman" w:hAnsi="Times New Roman" w:eastAsia="仿宋_GB2312"/>
                <w:w w:val="92"/>
                <w:kern w:val="0"/>
                <w:sz w:val="24"/>
                <w:szCs w:val="24"/>
              </w:rPr>
              <w:t>其中：生均财政专项补贴</w:t>
            </w:r>
          </w:p>
        </w:tc>
        <w:tc>
          <w:tcPr>
            <w:tcW w:w="421"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元</w:t>
            </w:r>
          </w:p>
        </w:tc>
        <w:tc>
          <w:tcPr>
            <w:tcW w:w="63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63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r>
      <w:tr>
        <w:tblPrEx>
          <w:tblCellMar>
            <w:top w:w="0" w:type="dxa"/>
            <w:left w:w="108" w:type="dxa"/>
            <w:bottom w:w="0" w:type="dxa"/>
            <w:right w:w="108" w:type="dxa"/>
          </w:tblCellMar>
        </w:tblPrEx>
        <w:trPr>
          <w:trHeight w:val="390"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restart"/>
            <w:tcBorders>
              <w:top w:val="nil"/>
              <w:left w:val="nil"/>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85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企业兼职教师年课时总量</w:t>
            </w:r>
          </w:p>
        </w:tc>
        <w:tc>
          <w:tcPr>
            <w:tcW w:w="421"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课时</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8</w:t>
            </w:r>
            <w:r>
              <w:rPr>
                <w:rFonts w:ascii="Times New Roman" w:hAnsi="Times New Roman" w:eastAsia="仿宋_GB2312"/>
                <w:kern w:val="0"/>
                <w:sz w:val="24"/>
                <w:szCs w:val="24"/>
              </w:rPr>
              <w:t>218</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4762</w:t>
            </w:r>
          </w:p>
        </w:tc>
      </w:tr>
      <w:tr>
        <w:tblPrEx>
          <w:tblCellMar>
            <w:top w:w="0" w:type="dxa"/>
            <w:left w:w="108" w:type="dxa"/>
            <w:bottom w:w="0" w:type="dxa"/>
            <w:right w:w="108" w:type="dxa"/>
          </w:tblCellMar>
        </w:tblPrEx>
        <w:trPr>
          <w:trHeight w:val="390" w:hRule="atLeast"/>
          <w:jc w:val="center"/>
        </w:trPr>
        <w:tc>
          <w:tcPr>
            <w:tcW w:w="519"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continue"/>
            <w:tcBorders>
              <w:left w:val="nil"/>
              <w:right w:val="single" w:color="auto" w:sz="4" w:space="0"/>
            </w:tcBorders>
            <w:shd w:val="clear" w:color="000000" w:fill="FFFFFF"/>
            <w:vAlign w:val="center"/>
          </w:tcPr>
          <w:p>
            <w:pPr>
              <w:widowControl/>
              <w:spacing w:line="360" w:lineRule="exact"/>
              <w:rPr>
                <w:rFonts w:ascii="Times New Roman" w:hAnsi="Times New Roman" w:eastAsia="仿宋_GB2312"/>
                <w:kern w:val="0"/>
                <w:sz w:val="24"/>
                <w:szCs w:val="24"/>
              </w:rPr>
            </w:pPr>
          </w:p>
        </w:tc>
        <w:tc>
          <w:tcPr>
            <w:tcW w:w="185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ascii="Times New Roman" w:hAnsi="Times New Roman" w:eastAsia="仿宋_GB2312"/>
                <w:kern w:val="0"/>
                <w:sz w:val="24"/>
                <w:szCs w:val="24"/>
              </w:rPr>
              <w:t>年支付企业兼职教师课酬</w:t>
            </w:r>
          </w:p>
        </w:tc>
        <w:tc>
          <w:tcPr>
            <w:tcW w:w="421"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元</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44558</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5</w:t>
            </w:r>
            <w:r>
              <w:rPr>
                <w:rFonts w:ascii="Times New Roman" w:hAnsi="Times New Roman" w:eastAsia="仿宋_GB2312"/>
                <w:kern w:val="0"/>
                <w:sz w:val="24"/>
                <w:szCs w:val="24"/>
              </w:rPr>
              <w:t>76000</w:t>
            </w:r>
          </w:p>
        </w:tc>
      </w:tr>
      <w:tr>
        <w:tblPrEx>
          <w:tblCellMar>
            <w:top w:w="0" w:type="dxa"/>
            <w:left w:w="108" w:type="dxa"/>
            <w:bottom w:w="0" w:type="dxa"/>
            <w:right w:w="108" w:type="dxa"/>
          </w:tblCellMar>
        </w:tblPrEx>
        <w:trPr>
          <w:trHeight w:val="390" w:hRule="atLeast"/>
          <w:jc w:val="center"/>
        </w:trPr>
        <w:tc>
          <w:tcPr>
            <w:tcW w:w="519" w:type="pct"/>
            <w:vMerge w:val="continue"/>
            <w:tcBorders>
              <w:left w:val="single" w:color="auto" w:sz="4" w:space="0"/>
              <w:bottom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711" w:type="pct"/>
            <w:vMerge w:val="continue"/>
            <w:tcBorders>
              <w:left w:val="single" w:color="auto" w:sz="4" w:space="0"/>
              <w:bottom w:val="single" w:color="auto" w:sz="4" w:space="0"/>
              <w:right w:val="single" w:color="auto" w:sz="4" w:space="0"/>
            </w:tcBorders>
            <w:vAlign w:val="center"/>
          </w:tcPr>
          <w:p>
            <w:pPr>
              <w:widowControl/>
              <w:spacing w:line="360" w:lineRule="exact"/>
              <w:jc w:val="left"/>
              <w:rPr>
                <w:rFonts w:ascii="Times New Roman" w:hAnsi="Times New Roman" w:eastAsia="仿宋_GB2312"/>
                <w:kern w:val="0"/>
                <w:sz w:val="24"/>
                <w:szCs w:val="24"/>
              </w:rPr>
            </w:pPr>
          </w:p>
        </w:tc>
        <w:tc>
          <w:tcPr>
            <w:tcW w:w="235" w:type="pct"/>
            <w:vMerge w:val="continue"/>
            <w:tcBorders>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p>
        </w:tc>
        <w:tc>
          <w:tcPr>
            <w:tcW w:w="1850"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ind w:firstLine="240" w:firstLineChars="100"/>
              <w:jc w:val="left"/>
              <w:rPr>
                <w:rFonts w:ascii="Times New Roman" w:hAnsi="Times New Roman" w:eastAsia="仿宋_GB2312"/>
                <w:kern w:val="0"/>
                <w:sz w:val="24"/>
                <w:szCs w:val="24"/>
              </w:rPr>
            </w:pPr>
            <w:r>
              <w:rPr>
                <w:rFonts w:ascii="Times New Roman" w:hAnsi="Times New Roman" w:eastAsia="仿宋_GB2312"/>
                <w:kern w:val="0"/>
                <w:sz w:val="24"/>
                <w:szCs w:val="24"/>
              </w:rPr>
              <w:t>其中：财政专项补贴</w:t>
            </w:r>
          </w:p>
        </w:tc>
        <w:tc>
          <w:tcPr>
            <w:tcW w:w="421"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元</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c>
          <w:tcPr>
            <w:tcW w:w="632" w:type="pct"/>
            <w:tcBorders>
              <w:top w:val="single" w:color="auto" w:sz="4" w:space="0"/>
              <w:left w:val="nil"/>
              <w:bottom w:val="single" w:color="auto" w:sz="4" w:space="0"/>
              <w:right w:val="single" w:color="auto" w:sz="4" w:space="0"/>
            </w:tcBorders>
            <w:shd w:val="clear" w:color="000000" w:fill="FFFFFF"/>
            <w:vAlign w:val="center"/>
          </w:tcPr>
          <w:p>
            <w:pPr>
              <w:widowControl/>
              <w:spacing w:line="360" w:lineRule="exact"/>
              <w:jc w:val="left"/>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r>
    </w:tbl>
    <w:p>
      <w:pPr>
        <w:jc w:val="right"/>
        <w:rPr>
          <w:rFonts w:ascii="楷体" w:hAnsi="楷体" w:eastAsia="楷体"/>
          <w:sz w:val="24"/>
          <w:szCs w:val="24"/>
        </w:rPr>
      </w:pPr>
      <w:r>
        <w:rPr>
          <w:rFonts w:hint="eastAsia" w:ascii="楷体" w:hAnsi="楷体" w:eastAsia="楷体"/>
          <w:sz w:val="24"/>
          <w:szCs w:val="24"/>
        </w:rPr>
        <w:t xml:space="preserve"> </w:t>
      </w:r>
      <w:r>
        <w:rPr>
          <w:rFonts w:ascii="楷体" w:hAnsi="楷体" w:eastAsia="楷体"/>
          <w:sz w:val="24"/>
          <w:szCs w:val="24"/>
        </w:rPr>
        <w:t xml:space="preserve"> </w:t>
      </w:r>
      <w:r>
        <w:rPr>
          <w:rFonts w:hint="eastAsia" w:ascii="楷体" w:hAnsi="楷体" w:eastAsia="楷体"/>
          <w:sz w:val="24"/>
          <w:szCs w:val="24"/>
        </w:rPr>
        <w:t>数据来源：高等职业院校人才培养工作状态数据采集与管理系统</w:t>
      </w: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autoSpaceDE w:val="0"/>
        <w:autoSpaceDN w:val="0"/>
        <w:spacing w:before="190"/>
        <w:ind w:left="936"/>
        <w:jc w:val="left"/>
        <w:rPr>
          <w:rFonts w:ascii="仿宋" w:hAnsi="仿宋"/>
          <w:szCs w:val="32"/>
        </w:rPr>
      </w:pPr>
    </w:p>
    <w:p>
      <w:pPr>
        <w:pStyle w:val="2"/>
      </w:pPr>
      <w:bookmarkStart w:id="93" w:name="_Toc7536"/>
      <w:r>
        <w:rPr>
          <w:rFonts w:hint="eastAsia"/>
        </w:rPr>
        <w:t>表 7 相关数据表</w:t>
      </w:r>
      <w:bookmarkEnd w:id="93"/>
    </w:p>
    <w:p>
      <w:pPr>
        <w:pStyle w:val="6"/>
        <w:spacing w:before="166" w:after="31"/>
        <w:ind w:left="0"/>
        <w:rPr>
          <w:sz w:val="28"/>
          <w:szCs w:val="28"/>
        </w:rPr>
      </w:pPr>
      <w:r>
        <w:rPr>
          <w:rFonts w:hint="eastAsia"/>
          <w:sz w:val="28"/>
          <w:szCs w:val="28"/>
        </w:rPr>
        <w:t>院校代码：1</w:t>
      </w:r>
      <w:r>
        <w:rPr>
          <w:sz w:val="28"/>
          <w:szCs w:val="28"/>
        </w:rPr>
        <w:t xml:space="preserve">3032 </w:t>
      </w:r>
      <w:r>
        <w:rPr>
          <w:rFonts w:hint="eastAsia"/>
          <w:sz w:val="28"/>
          <w:szCs w:val="28"/>
        </w:rPr>
        <w:t>院校名称（加盖公章）：湖南艺术职业学院</w:t>
      </w:r>
    </w:p>
    <w:tbl>
      <w:tblPr>
        <w:tblStyle w:val="12"/>
        <w:tblW w:w="93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595"/>
        <w:gridCol w:w="3872"/>
        <w:gridCol w:w="708"/>
        <w:gridCol w:w="852"/>
        <w:gridCol w:w="814"/>
        <w:gridCol w:w="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07"/>
              <w:ind w:left="314"/>
              <w:rPr>
                <w:rFonts w:cs="Times New Roman"/>
                <w:sz w:val="21"/>
                <w:szCs w:val="21"/>
              </w:rPr>
            </w:pPr>
            <w:r>
              <w:rPr>
                <w:rFonts w:hint="eastAsia" w:cs="Times New Roman"/>
                <w:sz w:val="21"/>
                <w:szCs w:val="21"/>
              </w:rPr>
              <w:t>三级条目</w:t>
            </w:r>
          </w:p>
        </w:tc>
        <w:tc>
          <w:tcPr>
            <w:tcW w:w="595" w:type="dxa"/>
            <w:tcBorders>
              <w:top w:val="single" w:color="000000" w:sz="4" w:space="0"/>
              <w:left w:val="nil"/>
              <w:bottom w:val="single" w:color="000000" w:sz="4" w:space="0"/>
              <w:right w:val="single" w:color="000000" w:sz="4" w:space="0"/>
            </w:tcBorders>
            <w:vAlign w:val="center"/>
          </w:tcPr>
          <w:p>
            <w:pPr>
              <w:pStyle w:val="31"/>
              <w:spacing w:before="107"/>
              <w:ind w:left="37" w:right="28"/>
              <w:jc w:val="center"/>
              <w:rPr>
                <w:rFonts w:cs="Times New Roman"/>
                <w:sz w:val="21"/>
                <w:szCs w:val="21"/>
              </w:rPr>
            </w:pPr>
            <w:r>
              <w:rPr>
                <w:rFonts w:hint="eastAsia" w:cs="Times New Roman"/>
                <w:sz w:val="21"/>
                <w:szCs w:val="21"/>
              </w:rPr>
              <w:t>序号</w:t>
            </w:r>
          </w:p>
        </w:tc>
        <w:tc>
          <w:tcPr>
            <w:tcW w:w="3872" w:type="dxa"/>
            <w:tcBorders>
              <w:top w:val="single" w:color="000000" w:sz="4" w:space="0"/>
              <w:left w:val="nil"/>
              <w:bottom w:val="single" w:color="000000" w:sz="4" w:space="0"/>
              <w:right w:val="single" w:color="000000" w:sz="4" w:space="0"/>
            </w:tcBorders>
          </w:tcPr>
          <w:p>
            <w:pPr>
              <w:pStyle w:val="31"/>
              <w:spacing w:before="107"/>
              <w:ind w:left="12"/>
              <w:jc w:val="center"/>
              <w:rPr>
                <w:rFonts w:cs="Times New Roman"/>
                <w:sz w:val="21"/>
                <w:szCs w:val="21"/>
              </w:rPr>
            </w:pPr>
            <w:r>
              <w:rPr>
                <w:rFonts w:hint="eastAsia" w:cs="Times New Roman"/>
                <w:sz w:val="21"/>
                <w:szCs w:val="21"/>
              </w:rPr>
              <w:t>数</w:t>
            </w:r>
            <w:r>
              <w:rPr>
                <w:rFonts w:hint="eastAsia" w:cs="Times New Roman"/>
                <w:sz w:val="21"/>
                <w:szCs w:val="21"/>
              </w:rPr>
              <w:tab/>
            </w:r>
            <w:r>
              <w:rPr>
                <w:rFonts w:hint="eastAsia" w:cs="Times New Roman"/>
                <w:sz w:val="21"/>
                <w:szCs w:val="21"/>
              </w:rPr>
              <w:t>据</w:t>
            </w:r>
            <w:r>
              <w:rPr>
                <w:rFonts w:hint="eastAsia" w:cs="Times New Roman"/>
                <w:sz w:val="21"/>
                <w:szCs w:val="21"/>
              </w:rPr>
              <w:tab/>
            </w:r>
            <w:r>
              <w:rPr>
                <w:rFonts w:hint="eastAsia" w:cs="Times New Roman"/>
                <w:sz w:val="21"/>
                <w:szCs w:val="21"/>
              </w:rPr>
              <w:t>点</w:t>
            </w:r>
          </w:p>
        </w:tc>
        <w:tc>
          <w:tcPr>
            <w:tcW w:w="708" w:type="dxa"/>
            <w:tcBorders>
              <w:top w:val="single" w:color="000000" w:sz="4" w:space="0"/>
              <w:left w:val="nil"/>
              <w:bottom w:val="single" w:color="000000" w:sz="4" w:space="0"/>
              <w:right w:val="single" w:color="000000" w:sz="4" w:space="0"/>
            </w:tcBorders>
          </w:tcPr>
          <w:p>
            <w:pPr>
              <w:pStyle w:val="31"/>
              <w:spacing w:before="107"/>
              <w:ind w:left="95" w:right="83"/>
              <w:jc w:val="center"/>
              <w:rPr>
                <w:rFonts w:cs="Times New Roman"/>
                <w:sz w:val="21"/>
                <w:szCs w:val="21"/>
              </w:rPr>
            </w:pPr>
            <w:r>
              <w:rPr>
                <w:rFonts w:hint="eastAsia" w:cs="Times New Roman"/>
                <w:sz w:val="21"/>
                <w:szCs w:val="21"/>
              </w:rPr>
              <w:t>单位</w:t>
            </w:r>
          </w:p>
        </w:tc>
        <w:tc>
          <w:tcPr>
            <w:tcW w:w="852" w:type="dxa"/>
            <w:tcBorders>
              <w:top w:val="single" w:color="000000" w:sz="4" w:space="0"/>
              <w:left w:val="nil"/>
              <w:bottom w:val="single" w:color="000000" w:sz="4" w:space="0"/>
              <w:right w:val="single" w:color="000000" w:sz="4" w:space="0"/>
            </w:tcBorders>
            <w:vAlign w:val="center"/>
          </w:tcPr>
          <w:p>
            <w:pPr>
              <w:pStyle w:val="31"/>
              <w:spacing w:before="107"/>
              <w:ind w:left="36"/>
              <w:jc w:val="center"/>
              <w:rPr>
                <w:rFonts w:cs="Times New Roman"/>
                <w:sz w:val="21"/>
                <w:szCs w:val="21"/>
              </w:rPr>
            </w:pPr>
            <w:r>
              <w:rPr>
                <w:rFonts w:hint="eastAsia" w:cs="Times New Roman"/>
                <w:sz w:val="21"/>
                <w:szCs w:val="21"/>
              </w:rPr>
              <w:t>2020</w:t>
            </w:r>
            <w:r>
              <w:rPr>
                <w:rFonts w:hint="eastAsia" w:cs="Times New Roman"/>
                <w:spacing w:val="-30"/>
                <w:sz w:val="21"/>
                <w:szCs w:val="21"/>
              </w:rPr>
              <w:t xml:space="preserve"> 年</w:t>
            </w:r>
          </w:p>
        </w:tc>
        <w:tc>
          <w:tcPr>
            <w:tcW w:w="814" w:type="dxa"/>
            <w:tcBorders>
              <w:top w:val="single" w:color="000000" w:sz="4" w:space="0"/>
              <w:left w:val="nil"/>
              <w:bottom w:val="single" w:color="000000" w:sz="4" w:space="0"/>
              <w:right w:val="single" w:color="000000" w:sz="4" w:space="0"/>
            </w:tcBorders>
            <w:vAlign w:val="center"/>
          </w:tcPr>
          <w:p>
            <w:pPr>
              <w:pStyle w:val="31"/>
              <w:spacing w:before="107"/>
              <w:ind w:left="17"/>
              <w:jc w:val="center"/>
              <w:rPr>
                <w:rFonts w:cs="Times New Roman"/>
                <w:sz w:val="21"/>
                <w:szCs w:val="21"/>
              </w:rPr>
            </w:pPr>
            <w:r>
              <w:rPr>
                <w:rFonts w:hint="eastAsia" w:cs="Times New Roman"/>
                <w:sz w:val="21"/>
                <w:szCs w:val="21"/>
              </w:rPr>
              <w:t>2021</w:t>
            </w:r>
            <w:r>
              <w:rPr>
                <w:rFonts w:hint="eastAsia" w:cs="Times New Roman"/>
                <w:spacing w:val="-37"/>
                <w:sz w:val="21"/>
                <w:szCs w:val="21"/>
              </w:rPr>
              <w:t xml:space="preserve"> 年</w:t>
            </w:r>
          </w:p>
        </w:tc>
        <w:tc>
          <w:tcPr>
            <w:tcW w:w="907" w:type="dxa"/>
            <w:tcBorders>
              <w:top w:val="single" w:color="000000" w:sz="4" w:space="0"/>
              <w:left w:val="nil"/>
              <w:bottom w:val="single" w:color="000000" w:sz="4" w:space="0"/>
              <w:right w:val="single" w:color="000000" w:sz="4" w:space="0"/>
            </w:tcBorders>
          </w:tcPr>
          <w:p>
            <w:pPr>
              <w:pStyle w:val="31"/>
              <w:spacing w:before="107"/>
              <w:ind w:left="214"/>
              <w:rPr>
                <w:rFonts w:cs="Times New Roman"/>
                <w:sz w:val="21"/>
                <w:szCs w:val="21"/>
              </w:rPr>
            </w:pPr>
            <w:r>
              <w:rPr>
                <w:rFonts w:hint="eastAsia" w:cs="Times New Roman"/>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rFonts w:cs="Times New Roman"/>
                <w:sz w:val="21"/>
                <w:szCs w:val="21"/>
              </w:rPr>
            </w:pPr>
          </w:p>
          <w:p>
            <w:pPr>
              <w:pStyle w:val="31"/>
              <w:rPr>
                <w:rFonts w:cs="Times New Roman"/>
                <w:sz w:val="21"/>
                <w:szCs w:val="21"/>
              </w:rPr>
            </w:pPr>
          </w:p>
          <w:p>
            <w:pPr>
              <w:pStyle w:val="31"/>
              <w:ind w:left="72" w:right="67"/>
              <w:jc w:val="center"/>
              <w:rPr>
                <w:rFonts w:cs="Times New Roman"/>
                <w:sz w:val="21"/>
                <w:szCs w:val="21"/>
              </w:rPr>
            </w:pPr>
            <w:r>
              <w:rPr>
                <w:rFonts w:hint="eastAsia" w:cs="Times New Roman"/>
                <w:sz w:val="21"/>
                <w:szCs w:val="21"/>
              </w:rPr>
              <w:t>1.1.1</w:t>
            </w:r>
          </w:p>
          <w:p>
            <w:pPr>
              <w:pStyle w:val="31"/>
              <w:spacing w:before="5"/>
              <w:ind w:left="72" w:right="67"/>
              <w:jc w:val="center"/>
              <w:rPr>
                <w:rFonts w:cs="Times New Roman"/>
                <w:sz w:val="21"/>
                <w:szCs w:val="21"/>
              </w:rPr>
            </w:pPr>
            <w:r>
              <w:rPr>
                <w:rFonts w:hint="eastAsia" w:cs="Times New Roman"/>
                <w:sz w:val="21"/>
                <w:szCs w:val="21"/>
              </w:rPr>
              <w:t>基本素养</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9"/>
              <w:jc w:val="center"/>
              <w:rPr>
                <w:rFonts w:cs="Times New Roman"/>
                <w:sz w:val="21"/>
                <w:szCs w:val="21"/>
              </w:rPr>
            </w:pPr>
            <w:r>
              <w:rPr>
                <w:rFonts w:hint="eastAsia" w:cs="Times New Roman"/>
                <w:sz w:val="21"/>
                <w:szCs w:val="21"/>
              </w:rPr>
              <w:t>1</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学生递交入党申请书人数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r>
              <w:rPr>
                <w:sz w:val="21"/>
                <w:szCs w:val="21"/>
              </w:rPr>
              <w:t>28</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r>
              <w:rPr>
                <w:sz w:val="21"/>
                <w:szCs w:val="21"/>
              </w:rPr>
              <w:t>26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29"/>
              <w:jc w:val="center"/>
              <w:rPr>
                <w:rFonts w:cs="Times New Roman"/>
                <w:sz w:val="21"/>
                <w:szCs w:val="21"/>
              </w:rPr>
            </w:pPr>
            <w:r>
              <w:rPr>
                <w:rFonts w:hint="eastAsia" w:cs="Times New Roman"/>
                <w:sz w:val="21"/>
                <w:szCs w:val="21"/>
              </w:rPr>
              <w:t>2</w:t>
            </w:r>
          </w:p>
        </w:tc>
        <w:tc>
          <w:tcPr>
            <w:tcW w:w="3872" w:type="dxa"/>
            <w:tcBorders>
              <w:top w:val="single" w:color="000000" w:sz="4" w:space="0"/>
              <w:left w:val="nil"/>
              <w:bottom w:val="single" w:color="000000" w:sz="4" w:space="0"/>
              <w:right w:val="single" w:color="000000" w:sz="4" w:space="0"/>
            </w:tcBorders>
          </w:tcPr>
          <w:p>
            <w:pPr>
              <w:pStyle w:val="31"/>
              <w:spacing w:before="14" w:line="310" w:lineRule="atLeast"/>
              <w:ind w:left="16" w:right="1"/>
              <w:rPr>
                <w:rFonts w:cs="Times New Roman"/>
                <w:sz w:val="21"/>
                <w:szCs w:val="21"/>
              </w:rPr>
            </w:pPr>
            <w:r>
              <w:rPr>
                <w:rFonts w:hint="eastAsia" w:cs="Times New Roman"/>
                <w:sz w:val="21"/>
                <w:szCs w:val="21"/>
              </w:rPr>
              <w:t>学生递交入党申请书人数占在校生比例</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6</w:t>
            </w:r>
            <w:r>
              <w:rPr>
                <w:sz w:val="21"/>
                <w:szCs w:val="21"/>
              </w:rPr>
              <w:t>.7</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6</w:t>
            </w:r>
            <w:r>
              <w:rPr>
                <w:sz w:val="21"/>
                <w:szCs w:val="21"/>
              </w:rPr>
              <w:t>.6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29"/>
              <w:jc w:val="center"/>
              <w:rPr>
                <w:rFonts w:cs="Times New Roman"/>
                <w:sz w:val="21"/>
                <w:szCs w:val="21"/>
              </w:rPr>
            </w:pPr>
            <w:r>
              <w:rPr>
                <w:rFonts w:hint="eastAsia" w:cs="Times New Roman"/>
                <w:sz w:val="21"/>
                <w:szCs w:val="21"/>
              </w:rPr>
              <w:t>3</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学生参加党校培训人数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22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96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9"/>
              <w:jc w:val="center"/>
              <w:rPr>
                <w:rFonts w:cs="Times New Roman"/>
                <w:sz w:val="21"/>
                <w:szCs w:val="21"/>
              </w:rPr>
            </w:pPr>
            <w:r>
              <w:rPr>
                <w:rFonts w:hint="eastAsia" w:cs="Times New Roman"/>
                <w:sz w:val="21"/>
                <w:szCs w:val="21"/>
              </w:rPr>
              <w:t>4</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学生参加党校培训人数占在校生比例</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.8</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r>
              <w:rPr>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9"/>
              <w:jc w:val="center"/>
              <w:rPr>
                <w:rFonts w:cs="Times New Roman"/>
                <w:sz w:val="21"/>
                <w:szCs w:val="21"/>
              </w:rPr>
            </w:pPr>
            <w:r>
              <w:rPr>
                <w:rFonts w:hint="eastAsia" w:cs="Times New Roman"/>
                <w:sz w:val="21"/>
                <w:szCs w:val="21"/>
              </w:rPr>
              <w:t>5</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志愿者注册人数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39</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76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rPr>
                <w:sz w:val="21"/>
                <w:szCs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9"/>
              <w:jc w:val="center"/>
              <w:rPr>
                <w:rFonts w:cs="Times New Roman"/>
                <w:sz w:val="21"/>
                <w:szCs w:val="21"/>
              </w:rPr>
            </w:pPr>
            <w:r>
              <w:rPr>
                <w:rFonts w:hint="eastAsia" w:cs="Times New Roman"/>
                <w:sz w:val="21"/>
                <w:szCs w:val="21"/>
              </w:rPr>
              <w:t>6</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志愿者占在校生比例</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r>
              <w:rPr>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r>
              <w:rPr>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204"/>
              <w:ind w:left="72" w:right="67"/>
              <w:jc w:val="center"/>
              <w:rPr>
                <w:rFonts w:cs="Times New Roman"/>
                <w:sz w:val="21"/>
                <w:szCs w:val="21"/>
              </w:rPr>
            </w:pPr>
            <w:r>
              <w:rPr>
                <w:rFonts w:hint="eastAsia" w:cs="Times New Roman"/>
                <w:sz w:val="21"/>
                <w:szCs w:val="21"/>
              </w:rPr>
              <w:t>1.1.2</w:t>
            </w:r>
          </w:p>
          <w:p>
            <w:pPr>
              <w:pStyle w:val="31"/>
              <w:spacing w:before="4"/>
              <w:ind w:left="72" w:right="67"/>
              <w:jc w:val="center"/>
              <w:rPr>
                <w:rFonts w:cs="Times New Roman"/>
                <w:sz w:val="21"/>
                <w:szCs w:val="21"/>
              </w:rPr>
            </w:pPr>
            <w:r>
              <w:rPr>
                <w:rFonts w:hint="eastAsia" w:cs="Times New Roman"/>
                <w:sz w:val="21"/>
                <w:szCs w:val="21"/>
              </w:rPr>
              <w:t>实践能力</w:t>
            </w: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29"/>
              <w:jc w:val="center"/>
              <w:rPr>
                <w:rFonts w:cs="Times New Roman"/>
                <w:sz w:val="21"/>
                <w:szCs w:val="21"/>
              </w:rPr>
            </w:pPr>
            <w:r>
              <w:rPr>
                <w:rFonts w:hint="eastAsia" w:cs="Times New Roman"/>
                <w:sz w:val="21"/>
                <w:szCs w:val="21"/>
              </w:rPr>
              <w:t>7</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当年学生专业技能省级抽查合格率</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3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3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29"/>
              <w:jc w:val="center"/>
              <w:rPr>
                <w:rFonts w:cs="Times New Roman"/>
                <w:sz w:val="21"/>
                <w:szCs w:val="21"/>
              </w:rPr>
            </w:pPr>
            <w:r>
              <w:rPr>
                <w:rFonts w:hint="eastAsia" w:cs="Times New Roman"/>
                <w:sz w:val="21"/>
                <w:szCs w:val="21"/>
              </w:rPr>
              <w:t>8</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当年学生毕业设计省级抽查合格率</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3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3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29"/>
              <w:jc w:val="center"/>
              <w:rPr>
                <w:rFonts w:cs="Times New Roman"/>
                <w:sz w:val="21"/>
                <w:szCs w:val="21"/>
              </w:rPr>
            </w:pPr>
            <w:r>
              <w:rPr>
                <w:rFonts w:hint="eastAsia" w:cs="Times New Roman"/>
                <w:sz w:val="21"/>
                <w:szCs w:val="21"/>
              </w:rPr>
              <w:t>9</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当年学生技能竞赛省级获奖数</w:t>
            </w:r>
          </w:p>
        </w:tc>
        <w:tc>
          <w:tcPr>
            <w:tcW w:w="708" w:type="dxa"/>
            <w:tcBorders>
              <w:top w:val="single" w:color="000000" w:sz="4" w:space="0"/>
              <w:left w:val="nil"/>
              <w:bottom w:val="single" w:color="000000" w:sz="4" w:space="0"/>
              <w:right w:val="single" w:color="000000" w:sz="4" w:space="0"/>
            </w:tcBorders>
          </w:tcPr>
          <w:p>
            <w:pPr>
              <w:pStyle w:val="31"/>
              <w:spacing w:before="38"/>
              <w:ind w:left="235"/>
              <w:rPr>
                <w:rFonts w:cs="Times New Roman"/>
                <w:sz w:val="21"/>
                <w:szCs w:val="21"/>
              </w:rPr>
            </w:pPr>
            <w:r>
              <w:rPr>
                <w:rFonts w:hint="eastAsia" w:cs="Times New Roman"/>
                <w:sz w:val="21"/>
                <w:szCs w:val="21"/>
              </w:rPr>
              <w:t>项</w:t>
            </w:r>
          </w:p>
        </w:tc>
        <w:tc>
          <w:tcPr>
            <w:tcW w:w="852" w:type="dxa"/>
            <w:tcBorders>
              <w:top w:val="single" w:color="000000" w:sz="4" w:space="0"/>
              <w:left w:val="nil"/>
              <w:bottom w:val="single" w:color="000000" w:sz="4" w:space="0"/>
              <w:right w:val="single" w:color="000000" w:sz="4" w:space="0"/>
            </w:tcBorders>
            <w:vAlign w:val="center"/>
          </w:tcPr>
          <w:p>
            <w:pPr>
              <w:pStyle w:val="31"/>
              <w:spacing w:before="3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3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40"/>
              <w:ind w:left="133" w:right="28"/>
              <w:jc w:val="center"/>
              <w:rPr>
                <w:rFonts w:cs="Times New Roman"/>
                <w:sz w:val="21"/>
                <w:szCs w:val="21"/>
              </w:rPr>
            </w:pPr>
            <w:r>
              <w:rPr>
                <w:rFonts w:hint="eastAsia" w:cs="Times New Roman"/>
                <w:sz w:val="21"/>
                <w:szCs w:val="21"/>
              </w:rPr>
              <w:t>10</w:t>
            </w:r>
          </w:p>
        </w:tc>
        <w:tc>
          <w:tcPr>
            <w:tcW w:w="3872" w:type="dxa"/>
            <w:tcBorders>
              <w:top w:val="single" w:color="000000" w:sz="4" w:space="0"/>
              <w:left w:val="nil"/>
              <w:bottom w:val="single" w:color="000000" w:sz="4" w:space="0"/>
              <w:right w:val="single" w:color="000000" w:sz="4" w:space="0"/>
            </w:tcBorders>
          </w:tcPr>
          <w:p>
            <w:pPr>
              <w:pStyle w:val="31"/>
              <w:spacing w:before="40"/>
              <w:ind w:left="16"/>
              <w:rPr>
                <w:rFonts w:cs="Times New Roman"/>
                <w:sz w:val="21"/>
                <w:szCs w:val="21"/>
              </w:rPr>
            </w:pPr>
            <w:r>
              <w:rPr>
                <w:rFonts w:hint="eastAsia" w:cs="Times New Roman"/>
                <w:sz w:val="21"/>
                <w:szCs w:val="21"/>
              </w:rPr>
              <w:t>当年学生技能竞赛国家级获奖数</w:t>
            </w:r>
          </w:p>
        </w:tc>
        <w:tc>
          <w:tcPr>
            <w:tcW w:w="708" w:type="dxa"/>
            <w:tcBorders>
              <w:top w:val="single" w:color="000000" w:sz="4" w:space="0"/>
              <w:left w:val="nil"/>
              <w:bottom w:val="single" w:color="000000" w:sz="4" w:space="0"/>
              <w:right w:val="single" w:color="000000" w:sz="4" w:space="0"/>
            </w:tcBorders>
          </w:tcPr>
          <w:p>
            <w:pPr>
              <w:pStyle w:val="31"/>
              <w:spacing w:before="40"/>
              <w:ind w:left="235"/>
              <w:rPr>
                <w:rFonts w:cs="Times New Roman"/>
                <w:sz w:val="21"/>
                <w:szCs w:val="21"/>
              </w:rPr>
            </w:pPr>
            <w:r>
              <w:rPr>
                <w:rFonts w:hint="eastAsia" w:cs="Times New Roman"/>
                <w:sz w:val="21"/>
                <w:szCs w:val="21"/>
              </w:rPr>
              <w:t>项</w:t>
            </w:r>
          </w:p>
        </w:tc>
        <w:tc>
          <w:tcPr>
            <w:tcW w:w="852" w:type="dxa"/>
            <w:tcBorders>
              <w:top w:val="single" w:color="000000" w:sz="4" w:space="0"/>
              <w:left w:val="nil"/>
              <w:bottom w:val="single" w:color="000000" w:sz="4" w:space="0"/>
              <w:right w:val="single" w:color="000000" w:sz="4" w:space="0"/>
            </w:tcBorders>
            <w:vAlign w:val="center"/>
          </w:tcPr>
          <w:p>
            <w:pPr>
              <w:pStyle w:val="31"/>
              <w:spacing w:before="4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4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81"/>
              <w:ind w:left="72" w:right="67"/>
              <w:jc w:val="center"/>
              <w:rPr>
                <w:rFonts w:cs="Times New Roman"/>
                <w:sz w:val="21"/>
                <w:szCs w:val="21"/>
              </w:rPr>
            </w:pPr>
            <w:r>
              <w:rPr>
                <w:rFonts w:hint="eastAsia" w:cs="Times New Roman"/>
                <w:sz w:val="21"/>
                <w:szCs w:val="21"/>
              </w:rPr>
              <w:t>1.1.3</w:t>
            </w:r>
          </w:p>
          <w:p>
            <w:pPr>
              <w:pStyle w:val="31"/>
              <w:spacing w:before="5"/>
              <w:ind w:left="72" w:right="67"/>
              <w:jc w:val="center"/>
              <w:rPr>
                <w:rFonts w:cs="Times New Roman"/>
                <w:sz w:val="21"/>
                <w:szCs w:val="21"/>
              </w:rPr>
            </w:pPr>
            <w:r>
              <w:rPr>
                <w:rFonts w:hint="eastAsia" w:cs="Times New Roman"/>
                <w:sz w:val="21"/>
                <w:szCs w:val="21"/>
              </w:rPr>
              <w:t>身心素质</w:t>
            </w: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33" w:right="28"/>
              <w:jc w:val="center"/>
              <w:rPr>
                <w:rFonts w:cs="Times New Roman"/>
                <w:sz w:val="21"/>
                <w:szCs w:val="21"/>
              </w:rPr>
            </w:pPr>
            <w:r>
              <w:rPr>
                <w:rFonts w:hint="eastAsia" w:cs="Times New Roman"/>
                <w:sz w:val="21"/>
                <w:szCs w:val="21"/>
              </w:rPr>
              <w:t>11</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当年体质健康测试合格率</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92.30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90.16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33" w:right="28"/>
              <w:jc w:val="center"/>
              <w:rPr>
                <w:rFonts w:cs="Times New Roman"/>
                <w:sz w:val="21"/>
                <w:szCs w:val="21"/>
              </w:rPr>
            </w:pPr>
            <w:r>
              <w:rPr>
                <w:rFonts w:hint="eastAsia" w:cs="Times New Roman"/>
                <w:sz w:val="21"/>
                <w:szCs w:val="21"/>
              </w:rPr>
              <w:t>12</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当年心理健康普查健康率</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9</w:t>
            </w:r>
            <w:r>
              <w:rPr>
                <w:sz w:val="21"/>
                <w:szCs w:val="21"/>
              </w:rPr>
              <w:t>0.12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8</w:t>
            </w:r>
            <w:r>
              <w:rPr>
                <w:sz w:val="21"/>
                <w:szCs w:val="21"/>
              </w:rPr>
              <w:t>8.36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204"/>
              <w:ind w:left="72" w:right="67"/>
              <w:jc w:val="center"/>
              <w:rPr>
                <w:rFonts w:cs="Times New Roman"/>
                <w:sz w:val="21"/>
                <w:szCs w:val="21"/>
              </w:rPr>
            </w:pPr>
            <w:r>
              <w:rPr>
                <w:rFonts w:hint="eastAsia" w:cs="Times New Roman"/>
                <w:sz w:val="21"/>
                <w:szCs w:val="21"/>
              </w:rPr>
              <w:t>1.1.4</w:t>
            </w:r>
          </w:p>
          <w:p>
            <w:pPr>
              <w:pStyle w:val="31"/>
              <w:spacing w:before="5"/>
              <w:ind w:left="72" w:right="67"/>
              <w:jc w:val="center"/>
              <w:rPr>
                <w:rFonts w:cs="Times New Roman"/>
                <w:sz w:val="21"/>
                <w:szCs w:val="21"/>
              </w:rPr>
            </w:pPr>
            <w:r>
              <w:rPr>
                <w:rFonts w:hint="eastAsia" w:cs="Times New Roman"/>
                <w:sz w:val="21"/>
                <w:szCs w:val="21"/>
              </w:rPr>
              <w:t>学生服务</w:t>
            </w: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33" w:right="28"/>
              <w:jc w:val="center"/>
              <w:rPr>
                <w:rFonts w:cs="Times New Roman"/>
                <w:sz w:val="21"/>
                <w:szCs w:val="21"/>
              </w:rPr>
            </w:pPr>
            <w:r>
              <w:rPr>
                <w:rFonts w:hint="eastAsia" w:cs="Times New Roman"/>
                <w:sz w:val="21"/>
                <w:szCs w:val="21"/>
              </w:rPr>
              <w:t>13</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当年教书育人满意度</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3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3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38"/>
              <w:ind w:left="74" w:right="61"/>
              <w:jc w:val="center"/>
              <w:rPr>
                <w:rFonts w:cs="Times New Roman"/>
                <w:sz w:val="21"/>
                <w:szCs w:val="21"/>
              </w:rPr>
            </w:pPr>
            <w:r>
              <w:rPr>
                <w:rFonts w:hint="eastAsia" w:cs="Times New Roman"/>
                <w:sz w:val="21"/>
                <w:szCs w:val="21"/>
              </w:rPr>
              <w:t>见表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39"/>
              <w:ind w:left="133" w:right="28"/>
              <w:jc w:val="center"/>
              <w:rPr>
                <w:rFonts w:cs="Times New Roman"/>
                <w:sz w:val="21"/>
                <w:szCs w:val="21"/>
              </w:rPr>
            </w:pPr>
            <w:r>
              <w:rPr>
                <w:rFonts w:hint="eastAsia" w:cs="Times New Roman"/>
                <w:sz w:val="21"/>
                <w:szCs w:val="21"/>
              </w:rPr>
              <w:t>14</w:t>
            </w:r>
          </w:p>
        </w:tc>
        <w:tc>
          <w:tcPr>
            <w:tcW w:w="3872" w:type="dxa"/>
            <w:tcBorders>
              <w:top w:val="single" w:color="000000" w:sz="4" w:space="0"/>
              <w:left w:val="nil"/>
              <w:bottom w:val="single" w:color="000000" w:sz="4" w:space="0"/>
              <w:right w:val="single" w:color="000000" w:sz="4" w:space="0"/>
            </w:tcBorders>
          </w:tcPr>
          <w:p>
            <w:pPr>
              <w:pStyle w:val="31"/>
              <w:spacing w:before="39"/>
              <w:ind w:left="16"/>
              <w:rPr>
                <w:rFonts w:cs="Times New Roman"/>
                <w:sz w:val="21"/>
                <w:szCs w:val="21"/>
              </w:rPr>
            </w:pPr>
            <w:r>
              <w:rPr>
                <w:rFonts w:hint="eastAsia" w:cs="Times New Roman"/>
                <w:sz w:val="21"/>
                <w:szCs w:val="21"/>
              </w:rPr>
              <w:t>当年课堂教学满意度</w:t>
            </w:r>
          </w:p>
        </w:tc>
        <w:tc>
          <w:tcPr>
            <w:tcW w:w="708" w:type="dxa"/>
            <w:tcBorders>
              <w:top w:val="single" w:color="000000" w:sz="4" w:space="0"/>
              <w:left w:val="nil"/>
              <w:bottom w:val="single" w:color="000000" w:sz="4" w:space="0"/>
              <w:right w:val="single" w:color="000000" w:sz="4" w:space="0"/>
            </w:tcBorders>
          </w:tcPr>
          <w:p>
            <w:pPr>
              <w:pStyle w:val="31"/>
              <w:spacing w:before="39"/>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39"/>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39"/>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39"/>
              <w:ind w:left="74" w:right="61"/>
              <w:jc w:val="center"/>
              <w:rPr>
                <w:rFonts w:cs="Times New Roman"/>
                <w:sz w:val="21"/>
                <w:szCs w:val="21"/>
              </w:rPr>
            </w:pPr>
            <w:r>
              <w:rPr>
                <w:rFonts w:hint="eastAsia" w:cs="Times New Roman"/>
                <w:sz w:val="21"/>
                <w:szCs w:val="21"/>
              </w:rPr>
              <w:t>见表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33" w:right="28"/>
              <w:jc w:val="center"/>
              <w:rPr>
                <w:rFonts w:cs="Times New Roman"/>
                <w:sz w:val="21"/>
                <w:szCs w:val="21"/>
              </w:rPr>
            </w:pPr>
            <w:r>
              <w:rPr>
                <w:rFonts w:hint="eastAsia" w:cs="Times New Roman"/>
                <w:sz w:val="21"/>
                <w:szCs w:val="21"/>
              </w:rPr>
              <w:t>15</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当年管理服务工作满意度</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3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3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38"/>
              <w:ind w:left="74" w:right="61"/>
              <w:jc w:val="center"/>
              <w:rPr>
                <w:rFonts w:cs="Times New Roman"/>
                <w:sz w:val="21"/>
                <w:szCs w:val="21"/>
              </w:rPr>
            </w:pPr>
            <w:r>
              <w:rPr>
                <w:rFonts w:hint="eastAsia" w:cs="Times New Roman"/>
                <w:sz w:val="21"/>
                <w:szCs w:val="21"/>
              </w:rPr>
              <w:t>见表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40"/>
              <w:ind w:left="133" w:right="28"/>
              <w:jc w:val="center"/>
              <w:rPr>
                <w:rFonts w:cs="Times New Roman"/>
                <w:sz w:val="21"/>
                <w:szCs w:val="21"/>
              </w:rPr>
            </w:pPr>
            <w:r>
              <w:rPr>
                <w:rFonts w:hint="eastAsia" w:cs="Times New Roman"/>
                <w:sz w:val="21"/>
                <w:szCs w:val="21"/>
              </w:rPr>
              <w:t>16</w:t>
            </w:r>
          </w:p>
        </w:tc>
        <w:tc>
          <w:tcPr>
            <w:tcW w:w="3872" w:type="dxa"/>
            <w:tcBorders>
              <w:top w:val="single" w:color="000000" w:sz="4" w:space="0"/>
              <w:left w:val="nil"/>
              <w:bottom w:val="single" w:color="000000" w:sz="4" w:space="0"/>
              <w:right w:val="single" w:color="000000" w:sz="4" w:space="0"/>
            </w:tcBorders>
          </w:tcPr>
          <w:p>
            <w:pPr>
              <w:pStyle w:val="31"/>
              <w:spacing w:before="40"/>
              <w:ind w:left="16"/>
              <w:rPr>
                <w:rFonts w:cs="Times New Roman"/>
                <w:sz w:val="21"/>
                <w:szCs w:val="21"/>
              </w:rPr>
            </w:pPr>
            <w:r>
              <w:rPr>
                <w:rFonts w:hint="eastAsia" w:cs="Times New Roman"/>
                <w:sz w:val="21"/>
                <w:szCs w:val="21"/>
              </w:rPr>
              <w:t>当年学生社团活动参与度</w:t>
            </w:r>
          </w:p>
        </w:tc>
        <w:tc>
          <w:tcPr>
            <w:tcW w:w="708" w:type="dxa"/>
            <w:tcBorders>
              <w:top w:val="single" w:color="000000" w:sz="4" w:space="0"/>
              <w:left w:val="nil"/>
              <w:bottom w:val="single" w:color="000000" w:sz="4" w:space="0"/>
              <w:right w:val="single" w:color="000000" w:sz="4" w:space="0"/>
            </w:tcBorders>
          </w:tcPr>
          <w:p>
            <w:pPr>
              <w:pStyle w:val="31"/>
              <w:spacing w:before="4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4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4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40"/>
              <w:ind w:left="74" w:right="61"/>
              <w:jc w:val="center"/>
              <w:rPr>
                <w:rFonts w:cs="Times New Roman"/>
                <w:sz w:val="21"/>
                <w:szCs w:val="21"/>
              </w:rPr>
            </w:pPr>
            <w:r>
              <w:rPr>
                <w:rFonts w:hint="eastAsia" w:cs="Times New Roman"/>
                <w:sz w:val="21"/>
                <w:szCs w:val="21"/>
              </w:rPr>
              <w:t>见表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6"/>
              <w:ind w:left="494"/>
              <w:rPr>
                <w:rFonts w:cs="Times New Roman"/>
                <w:sz w:val="21"/>
                <w:szCs w:val="21"/>
              </w:rPr>
            </w:pPr>
            <w:r>
              <w:rPr>
                <w:rFonts w:hint="eastAsia" w:cs="Times New Roman"/>
                <w:sz w:val="21"/>
                <w:szCs w:val="21"/>
              </w:rPr>
              <w:t>1.2.1</w:t>
            </w:r>
          </w:p>
          <w:p>
            <w:pPr>
              <w:pStyle w:val="31"/>
              <w:spacing w:before="2" w:line="306" w:lineRule="exact"/>
              <w:ind w:left="434"/>
              <w:rPr>
                <w:rFonts w:cs="Times New Roman"/>
                <w:sz w:val="21"/>
                <w:szCs w:val="21"/>
              </w:rPr>
            </w:pPr>
            <w:r>
              <w:rPr>
                <w:rFonts w:hint="eastAsia" w:cs="Times New Roman"/>
                <w:sz w:val="21"/>
                <w:szCs w:val="21"/>
              </w:rPr>
              <w:t>就业率</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17</w:t>
            </w:r>
          </w:p>
        </w:tc>
        <w:tc>
          <w:tcPr>
            <w:tcW w:w="3872" w:type="dxa"/>
            <w:tcBorders>
              <w:top w:val="single" w:color="000000" w:sz="4" w:space="0"/>
              <w:left w:val="nil"/>
              <w:bottom w:val="single" w:color="000000" w:sz="4" w:space="0"/>
              <w:right w:val="single" w:color="000000" w:sz="4" w:space="0"/>
            </w:tcBorders>
          </w:tcPr>
          <w:p>
            <w:pPr>
              <w:pStyle w:val="31"/>
              <w:spacing w:before="170"/>
              <w:ind w:left="16"/>
              <w:rPr>
                <w:rFonts w:cs="Times New Roman"/>
                <w:sz w:val="21"/>
                <w:szCs w:val="21"/>
              </w:rPr>
            </w:pPr>
            <w:r>
              <w:rPr>
                <w:rFonts w:hint="eastAsia" w:cs="Times New Roman"/>
                <w:sz w:val="21"/>
                <w:szCs w:val="21"/>
              </w:rPr>
              <w:t>当年毕业生就业率</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0"/>
              <w:ind w:left="74" w:right="61"/>
              <w:jc w:val="center"/>
              <w:rPr>
                <w:rFonts w:cs="Times New Roman"/>
                <w:sz w:val="21"/>
                <w:szCs w:val="21"/>
              </w:rPr>
            </w:pPr>
            <w:r>
              <w:rPr>
                <w:rFonts w:hint="eastAsia" w:cs="Times New Roman"/>
                <w:sz w:val="21"/>
                <w:szCs w:val="21"/>
              </w:rPr>
              <w:t>见表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1.2.2</w:t>
            </w:r>
          </w:p>
          <w:p>
            <w:pPr>
              <w:pStyle w:val="31"/>
              <w:spacing w:before="2" w:line="306" w:lineRule="exact"/>
              <w:ind w:left="72" w:right="67"/>
              <w:jc w:val="center"/>
              <w:rPr>
                <w:rFonts w:cs="Times New Roman"/>
                <w:sz w:val="21"/>
                <w:szCs w:val="21"/>
              </w:rPr>
            </w:pPr>
            <w:r>
              <w:rPr>
                <w:rFonts w:hint="eastAsia" w:cs="Times New Roman"/>
                <w:sz w:val="21"/>
                <w:szCs w:val="21"/>
              </w:rPr>
              <w:t>专业相关度</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18</w:t>
            </w:r>
          </w:p>
        </w:tc>
        <w:tc>
          <w:tcPr>
            <w:tcW w:w="3872" w:type="dxa"/>
            <w:tcBorders>
              <w:top w:val="single" w:color="000000" w:sz="4" w:space="0"/>
              <w:left w:val="nil"/>
              <w:bottom w:val="single" w:color="000000" w:sz="4" w:space="0"/>
              <w:right w:val="single" w:color="000000" w:sz="4" w:space="0"/>
            </w:tcBorders>
          </w:tcPr>
          <w:p>
            <w:pPr>
              <w:pStyle w:val="31"/>
              <w:spacing w:before="170"/>
              <w:ind w:left="16"/>
              <w:rPr>
                <w:rFonts w:cs="Times New Roman"/>
                <w:sz w:val="21"/>
                <w:szCs w:val="21"/>
              </w:rPr>
            </w:pPr>
            <w:r>
              <w:rPr>
                <w:rFonts w:hint="eastAsia" w:cs="Times New Roman"/>
                <w:sz w:val="21"/>
                <w:szCs w:val="21"/>
              </w:rPr>
              <w:t>当年毕业生对口就业率</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0"/>
              <w:ind w:left="73" w:right="62"/>
              <w:jc w:val="center"/>
              <w:rPr>
                <w:rFonts w:cs="Times New Roman"/>
                <w:sz w:val="21"/>
                <w:szCs w:val="21"/>
              </w:rPr>
            </w:pPr>
            <w:r>
              <w:rPr>
                <w:rFonts w:hint="eastAsia" w:cs="Times New Roman"/>
                <w:sz w:val="21"/>
                <w:szCs w:val="21"/>
              </w:rPr>
              <w:t>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1.2.3</w:t>
            </w:r>
          </w:p>
          <w:p>
            <w:pPr>
              <w:pStyle w:val="31"/>
              <w:spacing w:before="2" w:line="306" w:lineRule="exact"/>
              <w:ind w:left="72" w:right="67"/>
              <w:jc w:val="center"/>
              <w:rPr>
                <w:rFonts w:cs="Times New Roman"/>
                <w:sz w:val="21"/>
                <w:szCs w:val="21"/>
              </w:rPr>
            </w:pPr>
            <w:r>
              <w:rPr>
                <w:rFonts w:hint="eastAsia" w:cs="Times New Roman"/>
                <w:sz w:val="21"/>
                <w:szCs w:val="21"/>
              </w:rPr>
              <w:t>就业起薪点</w:t>
            </w:r>
          </w:p>
        </w:tc>
        <w:tc>
          <w:tcPr>
            <w:tcW w:w="595" w:type="dxa"/>
            <w:tcBorders>
              <w:top w:val="single" w:color="000000" w:sz="4" w:space="0"/>
              <w:left w:val="nil"/>
              <w:bottom w:val="single" w:color="000000" w:sz="4" w:space="0"/>
              <w:right w:val="single" w:color="000000" w:sz="4" w:space="0"/>
            </w:tcBorders>
            <w:vAlign w:val="center"/>
          </w:tcPr>
          <w:p>
            <w:pPr>
              <w:pStyle w:val="31"/>
              <w:spacing w:before="172"/>
              <w:ind w:left="133" w:right="28"/>
              <w:jc w:val="center"/>
              <w:rPr>
                <w:rFonts w:cs="Times New Roman"/>
                <w:sz w:val="21"/>
                <w:szCs w:val="21"/>
              </w:rPr>
            </w:pPr>
            <w:r>
              <w:rPr>
                <w:rFonts w:hint="eastAsia" w:cs="Times New Roman"/>
                <w:sz w:val="21"/>
                <w:szCs w:val="21"/>
              </w:rPr>
              <w:t>19</w:t>
            </w:r>
          </w:p>
        </w:tc>
        <w:tc>
          <w:tcPr>
            <w:tcW w:w="3872" w:type="dxa"/>
            <w:tcBorders>
              <w:top w:val="single" w:color="000000" w:sz="4" w:space="0"/>
              <w:left w:val="nil"/>
              <w:bottom w:val="single" w:color="000000" w:sz="4" w:space="0"/>
              <w:right w:val="single" w:color="000000" w:sz="4" w:space="0"/>
            </w:tcBorders>
          </w:tcPr>
          <w:p>
            <w:pPr>
              <w:pStyle w:val="31"/>
              <w:spacing w:before="172"/>
              <w:ind w:left="16"/>
              <w:rPr>
                <w:rFonts w:cs="Times New Roman"/>
                <w:sz w:val="21"/>
                <w:szCs w:val="21"/>
              </w:rPr>
            </w:pPr>
            <w:r>
              <w:rPr>
                <w:rFonts w:hint="eastAsia" w:cs="Times New Roman"/>
                <w:sz w:val="21"/>
                <w:szCs w:val="21"/>
              </w:rPr>
              <w:t>当年毕业生就业起薪点</w:t>
            </w:r>
          </w:p>
        </w:tc>
        <w:tc>
          <w:tcPr>
            <w:tcW w:w="708" w:type="dxa"/>
            <w:tcBorders>
              <w:top w:val="single" w:color="000000" w:sz="4" w:space="0"/>
              <w:left w:val="nil"/>
              <w:bottom w:val="single" w:color="000000" w:sz="4" w:space="0"/>
              <w:right w:val="single" w:color="000000" w:sz="4" w:space="0"/>
            </w:tcBorders>
          </w:tcPr>
          <w:p>
            <w:pPr>
              <w:pStyle w:val="31"/>
              <w:spacing w:before="172"/>
              <w:ind w:right="40"/>
              <w:jc w:val="right"/>
              <w:rPr>
                <w:rFonts w:cs="Times New Roman"/>
                <w:sz w:val="21"/>
                <w:szCs w:val="21"/>
              </w:rPr>
            </w:pPr>
            <w:r>
              <w:rPr>
                <w:rFonts w:hint="eastAsia" w:cs="Times New Roman"/>
                <w:sz w:val="21"/>
                <w:szCs w:val="21"/>
              </w:rPr>
              <w:t>元/月</w:t>
            </w:r>
          </w:p>
        </w:tc>
        <w:tc>
          <w:tcPr>
            <w:tcW w:w="852" w:type="dxa"/>
            <w:tcBorders>
              <w:top w:val="single" w:color="000000" w:sz="4" w:space="0"/>
              <w:left w:val="nil"/>
              <w:bottom w:val="single" w:color="000000" w:sz="4" w:space="0"/>
              <w:right w:val="single" w:color="000000" w:sz="4" w:space="0"/>
            </w:tcBorders>
            <w:vAlign w:val="center"/>
          </w:tcPr>
          <w:p>
            <w:pPr>
              <w:pStyle w:val="31"/>
              <w:spacing w:before="172"/>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2"/>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2"/>
              <w:ind w:left="74" w:right="61"/>
              <w:jc w:val="center"/>
              <w:rPr>
                <w:rFonts w:cs="Times New Roman"/>
                <w:sz w:val="21"/>
                <w:szCs w:val="21"/>
              </w:rPr>
            </w:pPr>
            <w:r>
              <w:rPr>
                <w:rFonts w:hint="eastAsia" w:cs="Times New Roman"/>
                <w:sz w:val="21"/>
                <w:szCs w:val="21"/>
              </w:rPr>
              <w:t>见表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5"/>
              <w:ind w:left="72" w:right="67"/>
              <w:jc w:val="center"/>
              <w:rPr>
                <w:rFonts w:cs="Times New Roman"/>
                <w:sz w:val="21"/>
                <w:szCs w:val="21"/>
              </w:rPr>
            </w:pPr>
            <w:r>
              <w:rPr>
                <w:rFonts w:hint="eastAsia" w:cs="Times New Roman"/>
                <w:sz w:val="21"/>
                <w:szCs w:val="21"/>
              </w:rPr>
              <w:t>1.2.4</w:t>
            </w:r>
          </w:p>
          <w:p>
            <w:pPr>
              <w:pStyle w:val="31"/>
              <w:spacing w:before="5"/>
              <w:ind w:left="72" w:right="67"/>
              <w:jc w:val="center"/>
              <w:rPr>
                <w:rFonts w:cs="Times New Roman"/>
                <w:sz w:val="21"/>
                <w:szCs w:val="21"/>
              </w:rPr>
            </w:pPr>
            <w:r>
              <w:rPr>
                <w:rFonts w:hint="eastAsia" w:cs="Times New Roman"/>
                <w:sz w:val="21"/>
                <w:szCs w:val="21"/>
              </w:rPr>
              <w:t>就业满意度</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33" w:right="28"/>
              <w:jc w:val="center"/>
              <w:rPr>
                <w:rFonts w:cs="Times New Roman"/>
                <w:sz w:val="21"/>
                <w:szCs w:val="21"/>
              </w:rPr>
            </w:pPr>
            <w:r>
              <w:rPr>
                <w:rFonts w:hint="eastAsia" w:cs="Times New Roman"/>
                <w:sz w:val="21"/>
                <w:szCs w:val="21"/>
              </w:rPr>
              <w:t>20</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母校满意度</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6"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6"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6" w:line="306" w:lineRule="exact"/>
              <w:ind w:left="74" w:right="61"/>
              <w:jc w:val="center"/>
              <w:rPr>
                <w:rFonts w:cs="Times New Roman"/>
                <w:sz w:val="21"/>
                <w:szCs w:val="21"/>
              </w:rPr>
            </w:pPr>
            <w:r>
              <w:rPr>
                <w:rFonts w:hint="eastAsia" w:cs="Times New Roman"/>
                <w:sz w:val="21"/>
                <w:szCs w:val="21"/>
              </w:rPr>
              <w:t>见表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21</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雇主满意度</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4" w:line="306" w:lineRule="exact"/>
              <w:ind w:left="74" w:right="61"/>
              <w:jc w:val="center"/>
              <w:rPr>
                <w:rFonts w:cs="Times New Roman"/>
                <w:sz w:val="21"/>
                <w:szCs w:val="21"/>
              </w:rPr>
            </w:pPr>
            <w:r>
              <w:rPr>
                <w:rFonts w:hint="eastAsia" w:cs="Times New Roman"/>
                <w:sz w:val="21"/>
                <w:szCs w:val="21"/>
              </w:rPr>
              <w:t>见表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92"/>
              <w:ind w:left="72" w:right="67"/>
              <w:jc w:val="center"/>
              <w:rPr>
                <w:rFonts w:cs="Times New Roman"/>
                <w:sz w:val="21"/>
                <w:szCs w:val="21"/>
              </w:rPr>
            </w:pPr>
            <w:r>
              <w:rPr>
                <w:rFonts w:hint="eastAsia" w:cs="Times New Roman"/>
                <w:sz w:val="21"/>
                <w:szCs w:val="21"/>
              </w:rPr>
              <w:t>1.3.1</w:t>
            </w:r>
          </w:p>
          <w:p>
            <w:pPr>
              <w:pStyle w:val="31"/>
              <w:spacing w:before="2"/>
              <w:ind w:left="74" w:right="67"/>
              <w:jc w:val="center"/>
              <w:rPr>
                <w:rFonts w:cs="Times New Roman"/>
                <w:sz w:val="21"/>
                <w:szCs w:val="21"/>
              </w:rPr>
            </w:pPr>
            <w:r>
              <w:rPr>
                <w:rFonts w:hint="eastAsia" w:cs="Times New Roman"/>
                <w:spacing w:val="-3"/>
                <w:sz w:val="21"/>
                <w:szCs w:val="21"/>
              </w:rPr>
              <w:t>毕业生三年后</w:t>
            </w:r>
            <w:r>
              <w:rPr>
                <w:rFonts w:hint="eastAsia" w:cs="Times New Roman"/>
                <w:sz w:val="21"/>
                <w:szCs w:val="21"/>
              </w:rPr>
              <w:t>月收入</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22</w:t>
            </w:r>
          </w:p>
        </w:tc>
        <w:tc>
          <w:tcPr>
            <w:tcW w:w="3872" w:type="dxa"/>
            <w:tcBorders>
              <w:top w:val="single" w:color="000000" w:sz="4" w:space="0"/>
              <w:left w:val="nil"/>
              <w:bottom w:val="single" w:color="000000" w:sz="4" w:space="0"/>
              <w:right w:val="single" w:color="000000" w:sz="4" w:space="0"/>
            </w:tcBorders>
          </w:tcPr>
          <w:p>
            <w:pPr>
              <w:pStyle w:val="31"/>
              <w:spacing w:before="170"/>
              <w:ind w:left="16"/>
              <w:rPr>
                <w:rFonts w:cs="Times New Roman"/>
                <w:sz w:val="21"/>
                <w:szCs w:val="21"/>
              </w:rPr>
            </w:pPr>
            <w:r>
              <w:rPr>
                <w:rFonts w:hint="eastAsia" w:cs="Times New Roman"/>
                <w:sz w:val="21"/>
                <w:szCs w:val="21"/>
              </w:rPr>
              <w:t>2017、2018 届毕业生月平均收入</w:t>
            </w:r>
          </w:p>
        </w:tc>
        <w:tc>
          <w:tcPr>
            <w:tcW w:w="708" w:type="dxa"/>
            <w:tcBorders>
              <w:top w:val="single" w:color="000000" w:sz="4" w:space="0"/>
              <w:left w:val="nil"/>
              <w:bottom w:val="single" w:color="000000" w:sz="4" w:space="0"/>
              <w:right w:val="single" w:color="000000" w:sz="4" w:space="0"/>
            </w:tcBorders>
          </w:tcPr>
          <w:p>
            <w:pPr>
              <w:pStyle w:val="31"/>
              <w:spacing w:before="170"/>
              <w:ind w:left="235"/>
              <w:rPr>
                <w:rFonts w:cs="Times New Roman"/>
                <w:sz w:val="21"/>
                <w:szCs w:val="21"/>
              </w:rPr>
            </w:pPr>
            <w:r>
              <w:rPr>
                <w:rFonts w:hint="eastAsia" w:cs="Times New Roman"/>
                <w:sz w:val="21"/>
                <w:szCs w:val="21"/>
              </w:rPr>
              <w:t>元</w:t>
            </w:r>
          </w:p>
        </w:tc>
        <w:tc>
          <w:tcPr>
            <w:tcW w:w="852" w:type="dxa"/>
            <w:tcBorders>
              <w:top w:val="single" w:color="000000" w:sz="4" w:space="0"/>
              <w:left w:val="nil"/>
              <w:bottom w:val="single" w:color="000000" w:sz="4" w:space="0"/>
              <w:right w:val="single" w:color="000000" w:sz="4" w:space="0"/>
            </w:tcBorders>
            <w:vAlign w:val="center"/>
          </w:tcPr>
          <w:p>
            <w:pPr>
              <w:pStyle w:val="31"/>
              <w:spacing w:before="5" w:line="306" w:lineRule="exact"/>
              <w:ind w:left="67"/>
              <w:jc w:val="center"/>
              <w:rPr>
                <w:rFonts w:cs="Times New Roman"/>
                <w:sz w:val="21"/>
                <w:szCs w:val="21"/>
              </w:rPr>
            </w:pPr>
            <w:r>
              <w:rPr>
                <w:rFonts w:hint="eastAsia" w:cs="Times New Roman"/>
                <w:spacing w:val="-30"/>
                <w:sz w:val="21"/>
                <w:szCs w:val="21"/>
              </w:rPr>
              <w:t>3</w:t>
            </w:r>
            <w:r>
              <w:rPr>
                <w:rFonts w:cs="Times New Roman"/>
                <w:spacing w:val="-30"/>
                <w:sz w:val="21"/>
                <w:szCs w:val="21"/>
              </w:rPr>
              <w:t>721</w:t>
            </w:r>
          </w:p>
        </w:tc>
        <w:tc>
          <w:tcPr>
            <w:tcW w:w="814" w:type="dxa"/>
            <w:tcBorders>
              <w:top w:val="single" w:color="000000" w:sz="4" w:space="0"/>
              <w:left w:val="nil"/>
              <w:bottom w:val="single" w:color="000000" w:sz="4" w:space="0"/>
              <w:right w:val="single" w:color="000000" w:sz="4" w:space="0"/>
            </w:tcBorders>
            <w:vAlign w:val="center"/>
          </w:tcPr>
          <w:p>
            <w:pPr>
              <w:pStyle w:val="31"/>
              <w:spacing w:before="5" w:line="306" w:lineRule="exact"/>
              <w:ind w:left="45"/>
              <w:jc w:val="center"/>
              <w:rPr>
                <w:rFonts w:cs="Times New Roman"/>
                <w:sz w:val="21"/>
                <w:szCs w:val="21"/>
              </w:rPr>
            </w:pPr>
            <w:r>
              <w:rPr>
                <w:rFonts w:hint="eastAsia" w:cs="Times New Roman"/>
                <w:spacing w:val="-29"/>
                <w:sz w:val="21"/>
                <w:szCs w:val="21"/>
              </w:rPr>
              <w:t>4</w:t>
            </w:r>
            <w:r>
              <w:rPr>
                <w:rFonts w:cs="Times New Roman"/>
                <w:spacing w:val="-29"/>
                <w:sz w:val="21"/>
                <w:szCs w:val="21"/>
              </w:rPr>
              <w:t>521</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23</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Pr>
                <w:rFonts w:cs="Times New Roman"/>
                <w:sz w:val="21"/>
                <w:szCs w:val="21"/>
              </w:rPr>
            </w:pPr>
            <w:r>
              <w:rPr>
                <w:rFonts w:hint="eastAsia" w:cs="Times New Roman"/>
                <w:sz w:val="21"/>
                <w:szCs w:val="21"/>
              </w:rPr>
              <w:t>2017</w:t>
            </w:r>
            <w:r>
              <w:rPr>
                <w:rFonts w:hint="eastAsia" w:cs="Times New Roman"/>
                <w:spacing w:val="-57"/>
                <w:sz w:val="21"/>
                <w:szCs w:val="21"/>
              </w:rPr>
              <w:t>、</w:t>
            </w:r>
            <w:r>
              <w:rPr>
                <w:rFonts w:hint="eastAsia" w:cs="Times New Roman"/>
                <w:sz w:val="21"/>
                <w:szCs w:val="21"/>
              </w:rPr>
              <w:t>2018</w:t>
            </w:r>
            <w:r>
              <w:rPr>
                <w:rFonts w:hint="eastAsia" w:cs="Times New Roman"/>
                <w:spacing w:val="-9"/>
                <w:sz w:val="21"/>
                <w:szCs w:val="21"/>
              </w:rPr>
              <w:t xml:space="preserve"> 届毕业生月收入比起薪平</w:t>
            </w:r>
            <w:r>
              <w:rPr>
                <w:rFonts w:hint="eastAsia" w:cs="Times New Roman"/>
                <w:sz w:val="21"/>
                <w:szCs w:val="21"/>
              </w:rPr>
              <w:t>均增加额</w:t>
            </w:r>
          </w:p>
        </w:tc>
        <w:tc>
          <w:tcPr>
            <w:tcW w:w="708" w:type="dxa"/>
            <w:tcBorders>
              <w:top w:val="single" w:color="000000" w:sz="4" w:space="0"/>
              <w:left w:val="nil"/>
              <w:bottom w:val="single" w:color="000000" w:sz="4" w:space="0"/>
              <w:right w:val="single" w:color="000000" w:sz="4" w:space="0"/>
            </w:tcBorders>
          </w:tcPr>
          <w:p>
            <w:pPr>
              <w:pStyle w:val="31"/>
              <w:spacing w:before="170"/>
              <w:ind w:left="235"/>
              <w:rPr>
                <w:rFonts w:cs="Times New Roman"/>
                <w:sz w:val="21"/>
                <w:szCs w:val="21"/>
              </w:rPr>
            </w:pPr>
            <w:r>
              <w:rPr>
                <w:rFonts w:hint="eastAsia" w:cs="Times New Roman"/>
                <w:sz w:val="21"/>
                <w:szCs w:val="21"/>
              </w:rPr>
              <w:t>元</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6" w:right="4"/>
              <w:jc w:val="center"/>
              <w:rPr>
                <w:rFonts w:cs="Times New Roman"/>
                <w:sz w:val="21"/>
                <w:szCs w:val="21"/>
              </w:rPr>
            </w:pPr>
            <w:r>
              <w:rPr>
                <w:rFonts w:hint="eastAsia" w:cs="Times New Roman"/>
                <w:sz w:val="21"/>
                <w:szCs w:val="21"/>
              </w:rPr>
              <w:t>7</w:t>
            </w:r>
            <w:r>
              <w:rPr>
                <w:rFonts w:cs="Times New Roman"/>
                <w:sz w:val="21"/>
                <w:szCs w:val="21"/>
              </w:rPr>
              <w:t>50</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8</w:t>
            </w:r>
            <w:r>
              <w:rPr>
                <w:rFonts w:cs="Times New Roman"/>
                <w:sz w:val="21"/>
                <w:szCs w:val="21"/>
              </w:rPr>
              <w:t>00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1.3.2</w:t>
            </w:r>
          </w:p>
          <w:p>
            <w:pPr>
              <w:pStyle w:val="31"/>
              <w:spacing w:before="2" w:line="306" w:lineRule="exact"/>
              <w:ind w:left="72" w:right="67"/>
              <w:jc w:val="center"/>
              <w:rPr>
                <w:rFonts w:cs="Times New Roman"/>
                <w:sz w:val="21"/>
                <w:szCs w:val="21"/>
              </w:rPr>
            </w:pPr>
            <w:r>
              <w:rPr>
                <w:rFonts w:hint="eastAsia" w:cs="Times New Roman"/>
                <w:sz w:val="21"/>
                <w:szCs w:val="21"/>
              </w:rPr>
              <w:t>职位晋升</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24</w:t>
            </w:r>
          </w:p>
        </w:tc>
        <w:tc>
          <w:tcPr>
            <w:tcW w:w="3872" w:type="dxa"/>
            <w:tcBorders>
              <w:top w:val="single" w:color="000000" w:sz="4" w:space="0"/>
              <w:left w:val="nil"/>
              <w:bottom w:val="single" w:color="000000" w:sz="4" w:space="0"/>
              <w:right w:val="single" w:color="000000" w:sz="4" w:space="0"/>
            </w:tcBorders>
          </w:tcPr>
          <w:p>
            <w:pPr>
              <w:pStyle w:val="31"/>
              <w:spacing w:before="170"/>
              <w:ind w:left="16"/>
              <w:rPr>
                <w:rFonts w:cs="Times New Roman"/>
                <w:sz w:val="21"/>
                <w:szCs w:val="21"/>
              </w:rPr>
            </w:pPr>
            <w:r>
              <w:rPr>
                <w:rFonts w:hint="eastAsia" w:cs="Times New Roman"/>
                <w:sz w:val="21"/>
                <w:szCs w:val="21"/>
              </w:rPr>
              <w:t>2017、2018 届毕业生职位晋升比例</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0"/>
              <w:ind w:left="74" w:right="61"/>
              <w:jc w:val="center"/>
              <w:rPr>
                <w:rFonts w:cs="Times New Roman"/>
                <w:sz w:val="21"/>
                <w:szCs w:val="21"/>
              </w:rPr>
            </w:pPr>
            <w:r>
              <w:rPr>
                <w:rFonts w:hint="eastAsia" w:cs="Times New Roman"/>
                <w:sz w:val="21"/>
                <w:szCs w:val="21"/>
              </w:rPr>
              <w:t>见表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1.3.3</w:t>
            </w:r>
          </w:p>
          <w:p>
            <w:pPr>
              <w:pStyle w:val="31"/>
              <w:spacing w:before="2" w:line="306" w:lineRule="exact"/>
              <w:ind w:left="72" w:right="67"/>
              <w:jc w:val="center"/>
              <w:rPr>
                <w:rFonts w:cs="Times New Roman"/>
                <w:sz w:val="21"/>
                <w:szCs w:val="21"/>
              </w:rPr>
            </w:pPr>
            <w:r>
              <w:rPr>
                <w:rFonts w:hint="eastAsia" w:cs="Times New Roman"/>
                <w:sz w:val="21"/>
                <w:szCs w:val="21"/>
              </w:rPr>
              <w:t>职业稳定性</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25</w:t>
            </w:r>
          </w:p>
        </w:tc>
        <w:tc>
          <w:tcPr>
            <w:tcW w:w="3872" w:type="dxa"/>
            <w:tcBorders>
              <w:top w:val="single" w:color="000000" w:sz="4" w:space="0"/>
              <w:left w:val="nil"/>
              <w:bottom w:val="single" w:color="000000" w:sz="4" w:space="0"/>
              <w:right w:val="single" w:color="000000" w:sz="4" w:space="0"/>
            </w:tcBorders>
          </w:tcPr>
          <w:p>
            <w:pPr>
              <w:pStyle w:val="31"/>
              <w:spacing w:before="170"/>
              <w:ind w:left="16"/>
              <w:rPr>
                <w:rFonts w:cs="Times New Roman"/>
                <w:sz w:val="21"/>
                <w:szCs w:val="21"/>
              </w:rPr>
            </w:pPr>
            <w:r>
              <w:rPr>
                <w:rFonts w:hint="eastAsia" w:cs="Times New Roman"/>
                <w:sz w:val="21"/>
                <w:szCs w:val="21"/>
              </w:rPr>
              <w:t>2017、2018 届毕业生平均雇主数</w:t>
            </w:r>
          </w:p>
        </w:tc>
        <w:tc>
          <w:tcPr>
            <w:tcW w:w="708" w:type="dxa"/>
            <w:tcBorders>
              <w:top w:val="single" w:color="000000" w:sz="4" w:space="0"/>
              <w:left w:val="nil"/>
              <w:bottom w:val="single" w:color="000000" w:sz="4" w:space="0"/>
              <w:right w:val="single" w:color="000000" w:sz="4" w:space="0"/>
            </w:tcBorders>
          </w:tcPr>
          <w:p>
            <w:pPr>
              <w:pStyle w:val="31"/>
              <w:spacing w:before="170"/>
              <w:ind w:left="235"/>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2" w:line="306" w:lineRule="exact"/>
              <w:ind w:left="67"/>
              <w:jc w:val="center"/>
              <w:rPr>
                <w:rFonts w:cs="Times New Roman"/>
                <w:sz w:val="21"/>
                <w:szCs w:val="21"/>
              </w:rPr>
            </w:pPr>
            <w:r>
              <w:rPr>
                <w:rFonts w:hint="eastAsia" w:cs="Times New Roman"/>
                <w:spacing w:val="-30"/>
                <w:sz w:val="21"/>
                <w:szCs w:val="21"/>
              </w:rPr>
              <w:t>8</w:t>
            </w:r>
          </w:p>
        </w:tc>
        <w:tc>
          <w:tcPr>
            <w:tcW w:w="814" w:type="dxa"/>
            <w:tcBorders>
              <w:top w:val="single" w:color="000000" w:sz="4" w:space="0"/>
              <w:left w:val="nil"/>
              <w:bottom w:val="single" w:color="000000" w:sz="4" w:space="0"/>
              <w:right w:val="single" w:color="000000" w:sz="4" w:space="0"/>
            </w:tcBorders>
            <w:vAlign w:val="center"/>
          </w:tcPr>
          <w:p>
            <w:pPr>
              <w:pStyle w:val="31"/>
              <w:spacing w:before="2" w:line="306" w:lineRule="exact"/>
              <w:ind w:left="45"/>
              <w:jc w:val="center"/>
              <w:rPr>
                <w:rFonts w:cs="Times New Roman"/>
                <w:sz w:val="21"/>
                <w:szCs w:val="21"/>
              </w:rPr>
            </w:pPr>
            <w:r>
              <w:rPr>
                <w:rFonts w:cs="Times New Roman"/>
                <w:spacing w:val="-29"/>
                <w:sz w:val="21"/>
                <w:szCs w:val="21"/>
              </w:rPr>
              <w:t>5</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211"/>
              <w:ind w:left="72" w:right="67"/>
              <w:jc w:val="center"/>
              <w:rPr>
                <w:rFonts w:cs="Times New Roman"/>
                <w:sz w:val="21"/>
                <w:szCs w:val="21"/>
              </w:rPr>
            </w:pPr>
            <w:r>
              <w:rPr>
                <w:rFonts w:hint="eastAsia" w:cs="Times New Roman"/>
                <w:sz w:val="21"/>
                <w:szCs w:val="21"/>
              </w:rPr>
              <w:t>1.4.1</w:t>
            </w:r>
          </w:p>
          <w:p>
            <w:pPr>
              <w:pStyle w:val="31"/>
              <w:spacing w:before="4"/>
              <w:ind w:left="72" w:right="67"/>
              <w:jc w:val="center"/>
              <w:rPr>
                <w:rFonts w:cs="Times New Roman"/>
                <w:sz w:val="21"/>
                <w:szCs w:val="21"/>
              </w:rPr>
            </w:pPr>
            <w:r>
              <w:rPr>
                <w:rFonts w:hint="eastAsia" w:cs="Times New Roman"/>
                <w:sz w:val="21"/>
                <w:szCs w:val="21"/>
              </w:rPr>
              <w:t>创新能力</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33" w:right="28"/>
              <w:jc w:val="center"/>
              <w:rPr>
                <w:rFonts w:cs="Times New Roman"/>
                <w:sz w:val="21"/>
                <w:szCs w:val="21"/>
              </w:rPr>
            </w:pPr>
            <w:r>
              <w:rPr>
                <w:rFonts w:hint="eastAsia" w:cs="Times New Roman"/>
                <w:sz w:val="21"/>
                <w:szCs w:val="21"/>
              </w:rPr>
              <w:t>26</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当年在校生学生专利获取数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235"/>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27</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当年学生在创新创业大赛省赛获奖数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235"/>
              <w:rPr>
                <w:rFonts w:cs="Times New Roman"/>
                <w:sz w:val="21"/>
                <w:szCs w:val="21"/>
              </w:rPr>
            </w:pPr>
            <w:r>
              <w:rPr>
                <w:rFonts w:hint="eastAsia" w:cs="Times New Roman"/>
                <w:sz w:val="21"/>
                <w:szCs w:val="21"/>
              </w:rPr>
              <w:t>项</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5</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28</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当年学生在创新创业大赛国赛获奖数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235"/>
              <w:rPr>
                <w:rFonts w:cs="Times New Roman"/>
                <w:sz w:val="21"/>
                <w:szCs w:val="21"/>
              </w:rPr>
            </w:pPr>
            <w:r>
              <w:rPr>
                <w:rFonts w:hint="eastAsia" w:cs="Times New Roman"/>
                <w:sz w:val="21"/>
                <w:szCs w:val="21"/>
              </w:rPr>
              <w:t>项</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1</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2"/>
              <w:rPr>
                <w:sz w:val="21"/>
                <w:szCs w:val="21"/>
              </w:rPr>
            </w:pPr>
          </w:p>
          <w:p>
            <w:pPr>
              <w:pStyle w:val="31"/>
              <w:ind w:left="72" w:right="67"/>
              <w:jc w:val="center"/>
              <w:rPr>
                <w:rFonts w:cs="Times New Roman"/>
                <w:sz w:val="21"/>
                <w:szCs w:val="21"/>
              </w:rPr>
            </w:pPr>
            <w:r>
              <w:rPr>
                <w:rFonts w:hint="eastAsia" w:cs="Times New Roman"/>
                <w:sz w:val="21"/>
                <w:szCs w:val="21"/>
              </w:rPr>
              <w:t>1.4.2</w:t>
            </w:r>
          </w:p>
          <w:p>
            <w:pPr>
              <w:pStyle w:val="31"/>
              <w:spacing w:before="5"/>
              <w:ind w:left="10" w:right="5"/>
              <w:jc w:val="center"/>
              <w:rPr>
                <w:rFonts w:cs="Times New Roman"/>
                <w:sz w:val="21"/>
                <w:szCs w:val="21"/>
              </w:rPr>
            </w:pPr>
            <w:r>
              <w:rPr>
                <w:rFonts w:hint="eastAsia" w:cs="Times New Roman"/>
                <w:sz w:val="21"/>
                <w:szCs w:val="21"/>
              </w:rPr>
              <w:t>创新创业教育</w:t>
            </w:r>
          </w:p>
        </w:tc>
        <w:tc>
          <w:tcPr>
            <w:tcW w:w="595" w:type="dxa"/>
            <w:tcBorders>
              <w:top w:val="single" w:color="000000" w:sz="4" w:space="0"/>
              <w:left w:val="nil"/>
              <w:bottom w:val="single" w:color="000000" w:sz="4" w:space="0"/>
              <w:right w:val="single" w:color="000000" w:sz="4" w:space="0"/>
            </w:tcBorders>
            <w:vAlign w:val="center"/>
          </w:tcPr>
          <w:p>
            <w:pPr>
              <w:pStyle w:val="31"/>
              <w:spacing w:before="17" w:line="306" w:lineRule="exact"/>
              <w:ind w:left="133" w:right="28"/>
              <w:jc w:val="center"/>
              <w:rPr>
                <w:rFonts w:cs="Times New Roman"/>
                <w:sz w:val="21"/>
                <w:szCs w:val="21"/>
              </w:rPr>
            </w:pPr>
            <w:r>
              <w:rPr>
                <w:rFonts w:hint="eastAsia" w:cs="Times New Roman"/>
                <w:sz w:val="21"/>
                <w:szCs w:val="21"/>
              </w:rPr>
              <w:t>29</w:t>
            </w:r>
          </w:p>
        </w:tc>
        <w:tc>
          <w:tcPr>
            <w:tcW w:w="3872" w:type="dxa"/>
            <w:tcBorders>
              <w:top w:val="single" w:color="000000" w:sz="4" w:space="0"/>
              <w:left w:val="nil"/>
              <w:bottom w:val="single" w:color="000000" w:sz="4" w:space="0"/>
              <w:right w:val="single" w:color="000000" w:sz="4" w:space="0"/>
            </w:tcBorders>
          </w:tcPr>
          <w:p>
            <w:pPr>
              <w:pStyle w:val="31"/>
              <w:spacing w:before="17" w:line="306" w:lineRule="exact"/>
              <w:ind w:left="16"/>
              <w:rPr>
                <w:rFonts w:cs="Times New Roman"/>
                <w:sz w:val="21"/>
                <w:szCs w:val="21"/>
              </w:rPr>
            </w:pPr>
            <w:r>
              <w:rPr>
                <w:rFonts w:hint="eastAsia" w:cs="Times New Roman"/>
                <w:sz w:val="21"/>
                <w:szCs w:val="21"/>
              </w:rPr>
              <w:t>当年学生创新创业必修课程到课率</w:t>
            </w:r>
          </w:p>
        </w:tc>
        <w:tc>
          <w:tcPr>
            <w:tcW w:w="708" w:type="dxa"/>
            <w:tcBorders>
              <w:top w:val="single" w:color="000000" w:sz="4" w:space="0"/>
              <w:left w:val="nil"/>
              <w:bottom w:val="single" w:color="000000" w:sz="4" w:space="0"/>
              <w:right w:val="single" w:color="000000" w:sz="4" w:space="0"/>
            </w:tcBorders>
          </w:tcPr>
          <w:p>
            <w:pPr>
              <w:pStyle w:val="31"/>
              <w:spacing w:before="17"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30</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当年选修创新创业课程的学生比率</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90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31</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Pr>
                <w:rFonts w:cs="Times New Roman"/>
                <w:sz w:val="21"/>
                <w:szCs w:val="21"/>
              </w:rPr>
            </w:pPr>
            <w:r>
              <w:rPr>
                <w:rFonts w:hint="eastAsia" w:cs="Times New Roman"/>
                <w:sz w:val="21"/>
                <w:szCs w:val="21"/>
              </w:rPr>
              <w:t>当年学生入驻创新创业孵化基地项目数</w:t>
            </w:r>
          </w:p>
        </w:tc>
        <w:tc>
          <w:tcPr>
            <w:tcW w:w="708" w:type="dxa"/>
            <w:tcBorders>
              <w:top w:val="single" w:color="000000" w:sz="4" w:space="0"/>
              <w:left w:val="nil"/>
              <w:bottom w:val="single" w:color="000000" w:sz="4" w:space="0"/>
              <w:right w:val="single" w:color="000000" w:sz="4" w:space="0"/>
            </w:tcBorders>
          </w:tcPr>
          <w:p>
            <w:pPr>
              <w:pStyle w:val="31"/>
              <w:spacing w:before="170"/>
              <w:ind w:left="235"/>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7</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7</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32</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当年学生参与创新创业活动的比例</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9</w:t>
            </w:r>
            <w:r>
              <w:rPr>
                <w:sz w:val="21"/>
                <w:szCs w:val="21"/>
              </w:rPr>
              <w:t>8</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9</w:t>
            </w:r>
            <w:r>
              <w:rPr>
                <w:sz w:val="21"/>
                <w:szCs w:val="21"/>
              </w:rPr>
              <w:t>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5"/>
              <w:ind w:left="72" w:right="67"/>
              <w:jc w:val="center"/>
              <w:rPr>
                <w:rFonts w:cs="Times New Roman"/>
                <w:sz w:val="21"/>
                <w:szCs w:val="21"/>
              </w:rPr>
            </w:pPr>
            <w:r>
              <w:rPr>
                <w:rFonts w:hint="eastAsia" w:cs="Times New Roman"/>
                <w:sz w:val="21"/>
                <w:szCs w:val="21"/>
              </w:rPr>
              <w:t>1.4.3</w:t>
            </w:r>
          </w:p>
          <w:p>
            <w:pPr>
              <w:pStyle w:val="31"/>
              <w:spacing w:before="5"/>
              <w:ind w:left="72" w:right="67"/>
              <w:jc w:val="center"/>
              <w:rPr>
                <w:rFonts w:cs="Times New Roman"/>
                <w:sz w:val="21"/>
                <w:szCs w:val="21"/>
              </w:rPr>
            </w:pPr>
            <w:r>
              <w:rPr>
                <w:rFonts w:hint="eastAsia" w:cs="Times New Roman"/>
                <w:sz w:val="21"/>
                <w:szCs w:val="21"/>
              </w:rPr>
              <w:t>自主创业</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33" w:right="28"/>
              <w:jc w:val="center"/>
              <w:rPr>
                <w:rFonts w:cs="Times New Roman"/>
                <w:sz w:val="21"/>
                <w:szCs w:val="21"/>
              </w:rPr>
            </w:pPr>
            <w:r>
              <w:rPr>
                <w:rFonts w:hint="eastAsia" w:cs="Times New Roman"/>
                <w:sz w:val="21"/>
                <w:szCs w:val="21"/>
              </w:rPr>
              <w:t>33</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毕业生自主创业比例</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6"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6"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6" w:line="306" w:lineRule="exact"/>
              <w:ind w:left="74" w:right="61"/>
              <w:jc w:val="center"/>
              <w:rPr>
                <w:rFonts w:cs="Times New Roman"/>
                <w:sz w:val="21"/>
                <w:szCs w:val="21"/>
              </w:rPr>
            </w:pPr>
            <w:r>
              <w:rPr>
                <w:rFonts w:hint="eastAsia" w:cs="Times New Roman"/>
                <w:sz w:val="21"/>
                <w:szCs w:val="21"/>
              </w:rPr>
              <w:t>见表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34</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2017</w:t>
            </w:r>
            <w:r>
              <w:rPr>
                <w:rFonts w:hint="eastAsia" w:cs="Times New Roman"/>
                <w:spacing w:val="-57"/>
                <w:sz w:val="21"/>
                <w:szCs w:val="21"/>
              </w:rPr>
              <w:t>、</w:t>
            </w:r>
            <w:r>
              <w:rPr>
                <w:rFonts w:hint="eastAsia" w:cs="Times New Roman"/>
                <w:sz w:val="21"/>
                <w:szCs w:val="21"/>
              </w:rPr>
              <w:t>2018</w:t>
            </w:r>
            <w:r>
              <w:rPr>
                <w:rFonts w:hint="eastAsia" w:cs="Times New Roman"/>
                <w:spacing w:val="-9"/>
                <w:sz w:val="21"/>
                <w:szCs w:val="21"/>
              </w:rPr>
              <w:t xml:space="preserve"> 届毕业生创业三年项目存</w:t>
            </w:r>
            <w:r>
              <w:rPr>
                <w:rFonts w:hint="eastAsia" w:cs="Times New Roman"/>
                <w:sz w:val="21"/>
                <w:szCs w:val="21"/>
              </w:rPr>
              <w:t>活率</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6" w:right="6"/>
              <w:jc w:val="center"/>
              <w:rPr>
                <w:rFonts w:cs="Times New Roman"/>
                <w:sz w:val="21"/>
                <w:szCs w:val="21"/>
              </w:rPr>
            </w:pPr>
            <w:r>
              <w:rPr>
                <w:rFonts w:hint="eastAsia" w:cs="Times New Roman"/>
                <w:spacing w:val="-30"/>
                <w:sz w:val="21"/>
                <w:szCs w:val="21"/>
              </w:rPr>
              <w:t>8</w:t>
            </w:r>
            <w:r>
              <w:rPr>
                <w:rFonts w:cs="Times New Roman"/>
                <w:spacing w:val="-30"/>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10"/>
              <w:jc w:val="center"/>
              <w:rPr>
                <w:rFonts w:cs="Times New Roman"/>
                <w:sz w:val="21"/>
                <w:szCs w:val="21"/>
              </w:rPr>
            </w:pPr>
            <w:r>
              <w:rPr>
                <w:rFonts w:hint="eastAsia" w:cs="Times New Roman"/>
                <w:spacing w:val="-30"/>
                <w:sz w:val="21"/>
                <w:szCs w:val="21"/>
              </w:rPr>
              <w:t>8</w:t>
            </w:r>
            <w:r>
              <w:rPr>
                <w:rFonts w:cs="Times New Roman"/>
                <w:spacing w:val="-30"/>
                <w:sz w:val="21"/>
                <w:szCs w:val="21"/>
              </w:rPr>
              <w:t>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1"/>
              <w:rPr>
                <w:sz w:val="21"/>
                <w:szCs w:val="21"/>
              </w:rPr>
            </w:pPr>
          </w:p>
          <w:p>
            <w:pPr>
              <w:pStyle w:val="31"/>
              <w:ind w:left="72" w:right="67"/>
              <w:jc w:val="center"/>
              <w:rPr>
                <w:rFonts w:cs="Times New Roman"/>
                <w:sz w:val="21"/>
                <w:szCs w:val="21"/>
              </w:rPr>
            </w:pPr>
            <w:r>
              <w:rPr>
                <w:rFonts w:hint="eastAsia" w:cs="Times New Roman"/>
                <w:sz w:val="21"/>
                <w:szCs w:val="21"/>
              </w:rPr>
              <w:t>2.1.1</w:t>
            </w:r>
          </w:p>
          <w:p>
            <w:pPr>
              <w:pStyle w:val="31"/>
              <w:spacing w:before="3"/>
              <w:ind w:left="10" w:right="5"/>
              <w:jc w:val="center"/>
              <w:rPr>
                <w:rFonts w:cs="Times New Roman"/>
                <w:sz w:val="21"/>
                <w:szCs w:val="21"/>
              </w:rPr>
            </w:pPr>
            <w:r>
              <w:rPr>
                <w:rFonts w:hint="eastAsia" w:cs="Times New Roman"/>
                <w:sz w:val="21"/>
                <w:szCs w:val="21"/>
              </w:rPr>
              <w:t>思想政治教育</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35</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累计打造校级以上思政课程金课数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门</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33" w:right="28"/>
              <w:jc w:val="center"/>
              <w:rPr>
                <w:rFonts w:cs="Times New Roman"/>
                <w:sz w:val="21"/>
                <w:szCs w:val="21"/>
              </w:rPr>
            </w:pPr>
            <w:r>
              <w:rPr>
                <w:rFonts w:hint="eastAsia" w:cs="Times New Roman"/>
                <w:sz w:val="21"/>
                <w:szCs w:val="21"/>
              </w:rPr>
              <w:t>36</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实施课程思政的课程比例</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37</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累计打造思政教育品牌活动个数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38</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当年校级以上思政教育研究项目立项数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21"/>
              <w:ind w:left="72" w:right="67"/>
              <w:jc w:val="center"/>
              <w:rPr>
                <w:rFonts w:cs="Times New Roman"/>
                <w:sz w:val="21"/>
                <w:szCs w:val="21"/>
              </w:rPr>
            </w:pPr>
            <w:r>
              <w:rPr>
                <w:rFonts w:hint="eastAsia" w:cs="Times New Roman"/>
                <w:sz w:val="21"/>
                <w:szCs w:val="21"/>
              </w:rPr>
              <w:t>2.1.2</w:t>
            </w:r>
          </w:p>
          <w:p>
            <w:pPr>
              <w:pStyle w:val="31"/>
              <w:spacing w:before="2"/>
              <w:ind w:left="10" w:right="5"/>
              <w:jc w:val="center"/>
              <w:rPr>
                <w:rFonts w:cs="Times New Roman"/>
                <w:sz w:val="21"/>
                <w:szCs w:val="21"/>
              </w:rPr>
            </w:pPr>
            <w:r>
              <w:rPr>
                <w:rFonts w:hint="eastAsia" w:cs="Times New Roman"/>
                <w:sz w:val="21"/>
                <w:szCs w:val="21"/>
              </w:rPr>
              <w:t>“三全育人”</w:t>
            </w:r>
          </w:p>
        </w:tc>
        <w:tc>
          <w:tcPr>
            <w:tcW w:w="595" w:type="dxa"/>
            <w:tcBorders>
              <w:top w:val="single" w:color="000000" w:sz="4" w:space="0"/>
              <w:left w:val="nil"/>
              <w:bottom w:val="single" w:color="000000" w:sz="4" w:space="0"/>
              <w:right w:val="single" w:color="000000" w:sz="4" w:space="0"/>
            </w:tcBorders>
            <w:vAlign w:val="center"/>
          </w:tcPr>
          <w:p>
            <w:pPr>
              <w:pStyle w:val="31"/>
              <w:spacing w:before="175"/>
              <w:ind w:left="133" w:right="28"/>
              <w:jc w:val="center"/>
              <w:rPr>
                <w:rFonts w:cs="Times New Roman"/>
                <w:sz w:val="21"/>
                <w:szCs w:val="21"/>
              </w:rPr>
            </w:pPr>
            <w:r>
              <w:rPr>
                <w:rFonts w:hint="eastAsia" w:cs="Times New Roman"/>
                <w:sz w:val="21"/>
                <w:szCs w:val="21"/>
              </w:rPr>
              <w:t>39</w:t>
            </w:r>
          </w:p>
        </w:tc>
        <w:tc>
          <w:tcPr>
            <w:tcW w:w="3872" w:type="dxa"/>
            <w:tcBorders>
              <w:top w:val="single" w:color="000000" w:sz="4" w:space="0"/>
              <w:left w:val="nil"/>
              <w:bottom w:val="single" w:color="000000" w:sz="4" w:space="0"/>
              <w:right w:val="single" w:color="000000" w:sz="4" w:space="0"/>
            </w:tcBorders>
          </w:tcPr>
          <w:p>
            <w:pPr>
              <w:pStyle w:val="31"/>
              <w:spacing w:before="19" w:line="310" w:lineRule="atLeast"/>
              <w:ind w:left="16" w:right="1"/>
              <w:rPr>
                <w:rFonts w:cs="Times New Roman"/>
                <w:sz w:val="21"/>
                <w:szCs w:val="21"/>
              </w:rPr>
            </w:pPr>
            <w:r>
              <w:rPr>
                <w:rFonts w:hint="eastAsia" w:cs="Times New Roman"/>
                <w:sz w:val="21"/>
                <w:szCs w:val="21"/>
              </w:rPr>
              <w:t>当年立项校级以上“三全育人”综合改革试点项目数</w:t>
            </w:r>
          </w:p>
        </w:tc>
        <w:tc>
          <w:tcPr>
            <w:tcW w:w="708" w:type="dxa"/>
            <w:tcBorders>
              <w:top w:val="single" w:color="000000" w:sz="4" w:space="0"/>
              <w:left w:val="nil"/>
              <w:bottom w:val="single" w:color="000000" w:sz="4" w:space="0"/>
              <w:right w:val="single" w:color="000000" w:sz="4" w:space="0"/>
            </w:tcBorders>
          </w:tcPr>
          <w:p>
            <w:pPr>
              <w:pStyle w:val="31"/>
              <w:spacing w:before="175"/>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41"/>
              <w:ind w:left="72" w:right="67"/>
              <w:jc w:val="center"/>
              <w:rPr>
                <w:rFonts w:cs="Times New Roman"/>
                <w:sz w:val="21"/>
                <w:szCs w:val="21"/>
              </w:rPr>
            </w:pPr>
            <w:r>
              <w:rPr>
                <w:rFonts w:hint="eastAsia" w:cs="Times New Roman"/>
                <w:sz w:val="21"/>
                <w:szCs w:val="21"/>
              </w:rPr>
              <w:t>2.1.3</w:t>
            </w:r>
          </w:p>
          <w:p>
            <w:pPr>
              <w:pStyle w:val="31"/>
              <w:spacing w:before="3"/>
              <w:ind w:left="72" w:right="67"/>
              <w:jc w:val="center"/>
              <w:rPr>
                <w:rFonts w:cs="Times New Roman"/>
                <w:sz w:val="21"/>
                <w:szCs w:val="21"/>
              </w:rPr>
            </w:pPr>
            <w:r>
              <w:rPr>
                <w:rFonts w:hint="eastAsia" w:cs="Times New Roman"/>
                <w:sz w:val="21"/>
                <w:szCs w:val="21"/>
              </w:rPr>
              <w:t>劳动教育</w:t>
            </w:r>
          </w:p>
        </w:tc>
        <w:tc>
          <w:tcPr>
            <w:tcW w:w="595" w:type="dxa"/>
            <w:tcBorders>
              <w:top w:val="single" w:color="000000" w:sz="4" w:space="0"/>
              <w:left w:val="nil"/>
              <w:bottom w:val="single" w:color="000000" w:sz="4" w:space="0"/>
              <w:right w:val="single" w:color="000000" w:sz="4" w:space="0"/>
            </w:tcBorders>
            <w:vAlign w:val="center"/>
          </w:tcPr>
          <w:p>
            <w:pPr>
              <w:pStyle w:val="31"/>
              <w:spacing w:before="69"/>
              <w:ind w:left="133" w:right="28"/>
              <w:jc w:val="center"/>
              <w:rPr>
                <w:rFonts w:cs="Times New Roman"/>
                <w:sz w:val="21"/>
                <w:szCs w:val="21"/>
              </w:rPr>
            </w:pPr>
            <w:r>
              <w:rPr>
                <w:rFonts w:hint="eastAsia" w:cs="Times New Roman"/>
                <w:sz w:val="21"/>
                <w:szCs w:val="21"/>
              </w:rPr>
              <w:t>40</w:t>
            </w:r>
          </w:p>
        </w:tc>
        <w:tc>
          <w:tcPr>
            <w:tcW w:w="3872" w:type="dxa"/>
            <w:tcBorders>
              <w:top w:val="single" w:color="000000" w:sz="4" w:space="0"/>
              <w:left w:val="nil"/>
              <w:bottom w:val="single" w:color="000000" w:sz="4" w:space="0"/>
              <w:right w:val="single" w:color="000000" w:sz="4" w:space="0"/>
            </w:tcBorders>
          </w:tcPr>
          <w:p>
            <w:pPr>
              <w:pStyle w:val="31"/>
              <w:spacing w:before="69"/>
              <w:ind w:left="16"/>
              <w:rPr>
                <w:rFonts w:cs="Times New Roman"/>
                <w:sz w:val="21"/>
                <w:szCs w:val="21"/>
              </w:rPr>
            </w:pPr>
            <w:r>
              <w:rPr>
                <w:rFonts w:hint="eastAsia" w:cs="Times New Roman"/>
                <w:sz w:val="21"/>
                <w:szCs w:val="21"/>
              </w:rPr>
              <w:t>累计建立校内劳动教育基地数</w:t>
            </w:r>
          </w:p>
        </w:tc>
        <w:tc>
          <w:tcPr>
            <w:tcW w:w="708" w:type="dxa"/>
            <w:tcBorders>
              <w:top w:val="single" w:color="000000" w:sz="4" w:space="0"/>
              <w:left w:val="nil"/>
              <w:bottom w:val="single" w:color="000000" w:sz="4" w:space="0"/>
              <w:right w:val="single" w:color="000000" w:sz="4" w:space="0"/>
            </w:tcBorders>
          </w:tcPr>
          <w:p>
            <w:pPr>
              <w:pStyle w:val="31"/>
              <w:spacing w:before="69"/>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11</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1</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70"/>
              <w:ind w:left="133" w:right="28"/>
              <w:jc w:val="center"/>
              <w:rPr>
                <w:rFonts w:cs="Times New Roman"/>
                <w:sz w:val="21"/>
                <w:szCs w:val="21"/>
              </w:rPr>
            </w:pPr>
            <w:r>
              <w:rPr>
                <w:rFonts w:hint="eastAsia" w:cs="Times New Roman"/>
                <w:sz w:val="21"/>
                <w:szCs w:val="21"/>
              </w:rPr>
              <w:t>41</w:t>
            </w:r>
          </w:p>
        </w:tc>
        <w:tc>
          <w:tcPr>
            <w:tcW w:w="3872" w:type="dxa"/>
            <w:tcBorders>
              <w:top w:val="single" w:color="000000" w:sz="4" w:space="0"/>
              <w:left w:val="nil"/>
              <w:bottom w:val="single" w:color="000000" w:sz="4" w:space="0"/>
              <w:right w:val="single" w:color="000000" w:sz="4" w:space="0"/>
            </w:tcBorders>
          </w:tcPr>
          <w:p>
            <w:pPr>
              <w:pStyle w:val="31"/>
              <w:spacing w:before="70"/>
              <w:ind w:left="16"/>
              <w:rPr>
                <w:rFonts w:cs="Times New Roman"/>
                <w:sz w:val="21"/>
                <w:szCs w:val="21"/>
              </w:rPr>
            </w:pPr>
            <w:r>
              <w:rPr>
                <w:rFonts w:hint="eastAsia" w:cs="Times New Roman"/>
                <w:sz w:val="21"/>
                <w:szCs w:val="21"/>
              </w:rPr>
              <w:t>当年生均周劳动时数</w:t>
            </w:r>
          </w:p>
        </w:tc>
        <w:tc>
          <w:tcPr>
            <w:tcW w:w="708" w:type="dxa"/>
            <w:tcBorders>
              <w:top w:val="single" w:color="000000" w:sz="4" w:space="0"/>
              <w:left w:val="nil"/>
              <w:bottom w:val="single" w:color="000000" w:sz="4" w:space="0"/>
              <w:right w:val="single" w:color="000000" w:sz="4" w:space="0"/>
            </w:tcBorders>
          </w:tcPr>
          <w:p>
            <w:pPr>
              <w:pStyle w:val="31"/>
              <w:spacing w:before="70"/>
              <w:ind w:left="95" w:right="83"/>
              <w:jc w:val="center"/>
              <w:rPr>
                <w:rFonts w:cs="Times New Roman"/>
                <w:sz w:val="21"/>
                <w:szCs w:val="21"/>
              </w:rPr>
            </w:pPr>
            <w:r>
              <w:rPr>
                <w:rFonts w:hint="eastAsia" w:cs="Times New Roman"/>
                <w:sz w:val="21"/>
                <w:szCs w:val="21"/>
              </w:rPr>
              <w:t>小时</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4</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2.1.4</w:t>
            </w:r>
          </w:p>
          <w:p>
            <w:pPr>
              <w:pStyle w:val="31"/>
              <w:spacing w:before="2"/>
              <w:ind w:left="10" w:right="5"/>
              <w:jc w:val="center"/>
              <w:rPr>
                <w:rFonts w:cs="Times New Roman"/>
                <w:sz w:val="21"/>
                <w:szCs w:val="21"/>
              </w:rPr>
            </w:pPr>
            <w:r>
              <w:rPr>
                <w:rFonts w:hint="eastAsia" w:cs="Times New Roman"/>
                <w:sz w:val="21"/>
                <w:szCs w:val="21"/>
              </w:rPr>
              <w:t>工匠精神培育</w:t>
            </w:r>
          </w:p>
          <w:p>
            <w:pPr>
              <w:pStyle w:val="31"/>
              <w:spacing w:before="5" w:line="306" w:lineRule="exact"/>
              <w:ind w:left="72" w:right="67"/>
              <w:jc w:val="center"/>
              <w:rPr>
                <w:rFonts w:cs="Times New Roman"/>
                <w:sz w:val="21"/>
                <w:szCs w:val="21"/>
              </w:rPr>
            </w:pPr>
            <w:r>
              <w:rPr>
                <w:rFonts w:hint="eastAsia" w:cs="Times New Roman"/>
                <w:sz w:val="21"/>
                <w:szCs w:val="21"/>
              </w:rPr>
              <w:t>和传承</w:t>
            </w:r>
          </w:p>
        </w:tc>
        <w:tc>
          <w:tcPr>
            <w:tcW w:w="595" w:type="dxa"/>
            <w:tcBorders>
              <w:top w:val="single" w:color="000000" w:sz="4" w:space="0"/>
              <w:left w:val="nil"/>
              <w:bottom w:val="single" w:color="000000" w:sz="4" w:space="0"/>
              <w:right w:val="single" w:color="000000" w:sz="4" w:space="0"/>
            </w:tcBorders>
            <w:vAlign w:val="center"/>
          </w:tcPr>
          <w:p>
            <w:pPr>
              <w:pStyle w:val="31"/>
              <w:spacing w:before="74"/>
              <w:ind w:left="133" w:right="28"/>
              <w:jc w:val="center"/>
              <w:rPr>
                <w:rFonts w:cs="Times New Roman"/>
                <w:sz w:val="21"/>
                <w:szCs w:val="21"/>
              </w:rPr>
            </w:pPr>
            <w:r>
              <w:rPr>
                <w:rFonts w:hint="eastAsia" w:cs="Times New Roman"/>
                <w:sz w:val="21"/>
                <w:szCs w:val="21"/>
              </w:rPr>
              <w:t>42</w:t>
            </w:r>
          </w:p>
        </w:tc>
        <w:tc>
          <w:tcPr>
            <w:tcW w:w="3872" w:type="dxa"/>
            <w:tcBorders>
              <w:top w:val="single" w:color="000000" w:sz="4" w:space="0"/>
              <w:left w:val="nil"/>
              <w:bottom w:val="single" w:color="000000" w:sz="4" w:space="0"/>
              <w:right w:val="single" w:color="000000" w:sz="4" w:space="0"/>
            </w:tcBorders>
          </w:tcPr>
          <w:p>
            <w:pPr>
              <w:pStyle w:val="31"/>
              <w:spacing w:before="74"/>
              <w:ind w:left="16"/>
              <w:rPr>
                <w:rFonts w:cs="Times New Roman"/>
                <w:sz w:val="21"/>
                <w:szCs w:val="21"/>
              </w:rPr>
            </w:pPr>
            <w:r>
              <w:rPr>
                <w:rFonts w:hint="eastAsia" w:cs="Times New Roman"/>
                <w:sz w:val="21"/>
                <w:szCs w:val="21"/>
              </w:rPr>
              <w:t>累计建立技能大师工作室个数</w:t>
            </w:r>
          </w:p>
        </w:tc>
        <w:tc>
          <w:tcPr>
            <w:tcW w:w="708" w:type="dxa"/>
            <w:tcBorders>
              <w:top w:val="single" w:color="000000" w:sz="4" w:space="0"/>
              <w:left w:val="nil"/>
              <w:bottom w:val="single" w:color="000000" w:sz="4" w:space="0"/>
              <w:right w:val="single" w:color="000000" w:sz="4" w:space="0"/>
            </w:tcBorders>
          </w:tcPr>
          <w:p>
            <w:pPr>
              <w:pStyle w:val="31"/>
              <w:spacing w:before="74"/>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91"/>
              <w:ind w:left="133" w:right="28"/>
              <w:jc w:val="center"/>
              <w:rPr>
                <w:rFonts w:cs="Times New Roman"/>
                <w:sz w:val="21"/>
                <w:szCs w:val="21"/>
              </w:rPr>
            </w:pPr>
            <w:r>
              <w:rPr>
                <w:rFonts w:hint="eastAsia" w:cs="Times New Roman"/>
                <w:sz w:val="21"/>
                <w:szCs w:val="21"/>
              </w:rPr>
              <w:t>43</w:t>
            </w:r>
          </w:p>
        </w:tc>
        <w:tc>
          <w:tcPr>
            <w:tcW w:w="3872" w:type="dxa"/>
            <w:tcBorders>
              <w:top w:val="single" w:color="000000" w:sz="4" w:space="0"/>
              <w:left w:val="nil"/>
              <w:bottom w:val="single" w:color="000000" w:sz="4" w:space="0"/>
              <w:right w:val="single" w:color="000000" w:sz="4" w:space="0"/>
            </w:tcBorders>
          </w:tcPr>
          <w:p>
            <w:pPr>
              <w:pStyle w:val="31"/>
              <w:spacing w:before="91"/>
              <w:ind w:left="16"/>
              <w:rPr>
                <w:rFonts w:cs="Times New Roman"/>
                <w:sz w:val="21"/>
                <w:szCs w:val="21"/>
              </w:rPr>
            </w:pPr>
            <w:r>
              <w:rPr>
                <w:rFonts w:hint="eastAsia" w:cs="Times New Roman"/>
                <w:spacing w:val="-24"/>
                <w:sz w:val="21"/>
                <w:szCs w:val="21"/>
              </w:rPr>
              <w:t>开设有关工匠精神教育和传承的课程数</w:t>
            </w:r>
          </w:p>
        </w:tc>
        <w:tc>
          <w:tcPr>
            <w:tcW w:w="708" w:type="dxa"/>
            <w:tcBorders>
              <w:top w:val="single" w:color="000000" w:sz="4" w:space="0"/>
              <w:left w:val="nil"/>
              <w:bottom w:val="single" w:color="000000" w:sz="4" w:space="0"/>
              <w:right w:val="single" w:color="000000" w:sz="4" w:space="0"/>
            </w:tcBorders>
          </w:tcPr>
          <w:p>
            <w:pPr>
              <w:pStyle w:val="31"/>
              <w:spacing w:before="91"/>
              <w:ind w:left="12"/>
              <w:jc w:val="center"/>
              <w:rPr>
                <w:rFonts w:cs="Times New Roman"/>
                <w:sz w:val="21"/>
                <w:szCs w:val="21"/>
              </w:rPr>
            </w:pPr>
            <w:r>
              <w:rPr>
                <w:rFonts w:hint="eastAsia" w:cs="Times New Roman"/>
                <w:sz w:val="21"/>
                <w:szCs w:val="21"/>
              </w:rPr>
              <w:t>门</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5</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4"/>
              <w:rPr>
                <w:sz w:val="21"/>
                <w:szCs w:val="21"/>
              </w:rPr>
            </w:pPr>
          </w:p>
          <w:p>
            <w:pPr>
              <w:pStyle w:val="31"/>
              <w:ind w:left="72" w:right="67"/>
              <w:jc w:val="center"/>
              <w:rPr>
                <w:rFonts w:cs="Times New Roman"/>
                <w:sz w:val="21"/>
                <w:szCs w:val="21"/>
              </w:rPr>
            </w:pPr>
            <w:r>
              <w:rPr>
                <w:rFonts w:hint="eastAsia" w:cs="Times New Roman"/>
                <w:sz w:val="21"/>
                <w:szCs w:val="21"/>
              </w:rPr>
              <w:t>2.2.1</w:t>
            </w:r>
          </w:p>
          <w:p>
            <w:pPr>
              <w:pStyle w:val="31"/>
              <w:spacing w:before="5"/>
              <w:ind w:left="74" w:right="67"/>
              <w:jc w:val="center"/>
              <w:rPr>
                <w:rFonts w:cs="Times New Roman"/>
                <w:sz w:val="21"/>
                <w:szCs w:val="21"/>
              </w:rPr>
            </w:pPr>
            <w:r>
              <w:rPr>
                <w:rFonts w:hint="eastAsia" w:cs="Times New Roman"/>
                <w:spacing w:val="-3"/>
                <w:sz w:val="21"/>
                <w:szCs w:val="21"/>
              </w:rPr>
              <w:t>优化调整专业</w:t>
            </w:r>
            <w:r>
              <w:rPr>
                <w:rFonts w:hint="eastAsia" w:cs="Times New Roman"/>
                <w:sz w:val="21"/>
                <w:szCs w:val="21"/>
              </w:rPr>
              <w:t>结构</w:t>
            </w:r>
          </w:p>
        </w:tc>
        <w:tc>
          <w:tcPr>
            <w:tcW w:w="595" w:type="dxa"/>
            <w:tcBorders>
              <w:top w:val="single" w:color="000000" w:sz="4" w:space="0"/>
              <w:left w:val="nil"/>
              <w:bottom w:val="single" w:color="000000" w:sz="4" w:space="0"/>
              <w:right w:val="single" w:color="000000" w:sz="4" w:space="0"/>
            </w:tcBorders>
            <w:vAlign w:val="center"/>
          </w:tcPr>
          <w:p>
            <w:pPr>
              <w:pStyle w:val="31"/>
              <w:spacing w:before="28"/>
              <w:ind w:left="133" w:right="28"/>
              <w:jc w:val="center"/>
              <w:rPr>
                <w:rFonts w:cs="Times New Roman"/>
                <w:sz w:val="21"/>
                <w:szCs w:val="21"/>
              </w:rPr>
            </w:pPr>
            <w:r>
              <w:rPr>
                <w:rFonts w:hint="eastAsia" w:cs="Times New Roman"/>
                <w:sz w:val="21"/>
                <w:szCs w:val="21"/>
              </w:rPr>
              <w:t>44</w:t>
            </w:r>
          </w:p>
        </w:tc>
        <w:tc>
          <w:tcPr>
            <w:tcW w:w="3872" w:type="dxa"/>
            <w:tcBorders>
              <w:top w:val="single" w:color="000000" w:sz="4" w:space="0"/>
              <w:left w:val="nil"/>
              <w:bottom w:val="single" w:color="000000" w:sz="4" w:space="0"/>
              <w:right w:val="single" w:color="000000" w:sz="4" w:space="0"/>
            </w:tcBorders>
          </w:tcPr>
          <w:p>
            <w:pPr>
              <w:pStyle w:val="31"/>
              <w:spacing w:before="28"/>
              <w:ind w:left="16"/>
              <w:rPr>
                <w:rFonts w:cs="Times New Roman"/>
                <w:sz w:val="21"/>
                <w:szCs w:val="21"/>
              </w:rPr>
            </w:pPr>
            <w:r>
              <w:rPr>
                <w:rFonts w:hint="eastAsia" w:cs="Times New Roman"/>
                <w:sz w:val="21"/>
                <w:szCs w:val="21"/>
              </w:rPr>
              <w:t>专业群数</w:t>
            </w:r>
          </w:p>
        </w:tc>
        <w:tc>
          <w:tcPr>
            <w:tcW w:w="708" w:type="dxa"/>
            <w:tcBorders>
              <w:top w:val="single" w:color="000000" w:sz="4" w:space="0"/>
              <w:left w:val="nil"/>
              <w:bottom w:val="single" w:color="000000" w:sz="4" w:space="0"/>
              <w:right w:val="single" w:color="000000" w:sz="4" w:space="0"/>
            </w:tcBorders>
          </w:tcPr>
          <w:p>
            <w:pPr>
              <w:pStyle w:val="31"/>
              <w:spacing w:before="28"/>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5</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26"/>
              <w:ind w:left="133" w:right="28"/>
              <w:jc w:val="center"/>
              <w:rPr>
                <w:rFonts w:cs="Times New Roman"/>
                <w:sz w:val="21"/>
                <w:szCs w:val="21"/>
              </w:rPr>
            </w:pPr>
            <w:r>
              <w:rPr>
                <w:rFonts w:hint="eastAsia" w:cs="Times New Roman"/>
                <w:sz w:val="21"/>
                <w:szCs w:val="21"/>
              </w:rPr>
              <w:t>45</w:t>
            </w:r>
          </w:p>
        </w:tc>
        <w:tc>
          <w:tcPr>
            <w:tcW w:w="3872" w:type="dxa"/>
            <w:tcBorders>
              <w:top w:val="single" w:color="000000" w:sz="4" w:space="0"/>
              <w:left w:val="nil"/>
              <w:bottom w:val="single" w:color="000000" w:sz="4" w:space="0"/>
              <w:right w:val="single" w:color="000000" w:sz="4" w:space="0"/>
            </w:tcBorders>
          </w:tcPr>
          <w:p>
            <w:pPr>
              <w:pStyle w:val="31"/>
              <w:spacing w:before="26"/>
              <w:ind w:left="16"/>
              <w:rPr>
                <w:rFonts w:cs="Times New Roman"/>
                <w:sz w:val="21"/>
                <w:szCs w:val="21"/>
              </w:rPr>
            </w:pPr>
            <w:r>
              <w:rPr>
                <w:rFonts w:hint="eastAsia" w:cs="Times New Roman"/>
                <w:sz w:val="21"/>
                <w:szCs w:val="21"/>
              </w:rPr>
              <w:t>累计立项省级一流特色专业群数</w:t>
            </w:r>
          </w:p>
        </w:tc>
        <w:tc>
          <w:tcPr>
            <w:tcW w:w="708" w:type="dxa"/>
            <w:tcBorders>
              <w:top w:val="single" w:color="000000" w:sz="4" w:space="0"/>
              <w:left w:val="nil"/>
              <w:bottom w:val="single" w:color="000000" w:sz="4" w:space="0"/>
              <w:right w:val="single" w:color="000000" w:sz="4" w:space="0"/>
            </w:tcBorders>
          </w:tcPr>
          <w:p>
            <w:pPr>
              <w:pStyle w:val="31"/>
              <w:spacing w:before="26"/>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26"/>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26"/>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26"/>
              <w:ind w:left="73" w:right="62"/>
              <w:jc w:val="center"/>
              <w:rPr>
                <w:rFonts w:cs="Times New Roman"/>
                <w:sz w:val="21"/>
                <w:szCs w:val="21"/>
              </w:rPr>
            </w:pPr>
            <w:r>
              <w:rPr>
                <w:rFonts w:hint="eastAsia" w:cs="Times New Roman"/>
                <w:sz w:val="21"/>
                <w:szCs w:val="21"/>
              </w:rPr>
              <w:t>见文件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28"/>
              <w:ind w:left="133" w:right="28"/>
              <w:jc w:val="center"/>
              <w:rPr>
                <w:rFonts w:cs="Times New Roman"/>
                <w:sz w:val="21"/>
                <w:szCs w:val="21"/>
              </w:rPr>
            </w:pPr>
            <w:r>
              <w:rPr>
                <w:rFonts w:hint="eastAsia" w:cs="Times New Roman"/>
                <w:sz w:val="21"/>
                <w:szCs w:val="21"/>
              </w:rPr>
              <w:t>46</w:t>
            </w:r>
          </w:p>
        </w:tc>
        <w:tc>
          <w:tcPr>
            <w:tcW w:w="3872" w:type="dxa"/>
            <w:tcBorders>
              <w:top w:val="single" w:color="000000" w:sz="4" w:space="0"/>
              <w:left w:val="nil"/>
              <w:bottom w:val="single" w:color="000000" w:sz="4" w:space="0"/>
              <w:right w:val="single" w:color="000000" w:sz="4" w:space="0"/>
            </w:tcBorders>
          </w:tcPr>
          <w:p>
            <w:pPr>
              <w:pStyle w:val="31"/>
              <w:spacing w:before="28"/>
              <w:ind w:left="16"/>
              <w:rPr>
                <w:rFonts w:cs="Times New Roman"/>
                <w:sz w:val="21"/>
                <w:szCs w:val="21"/>
              </w:rPr>
            </w:pPr>
            <w:r>
              <w:rPr>
                <w:rFonts w:hint="eastAsia" w:cs="Times New Roman"/>
                <w:sz w:val="21"/>
                <w:szCs w:val="21"/>
              </w:rPr>
              <w:t>当年新增专业个数</w:t>
            </w:r>
          </w:p>
        </w:tc>
        <w:tc>
          <w:tcPr>
            <w:tcW w:w="708" w:type="dxa"/>
            <w:tcBorders>
              <w:top w:val="single" w:color="000000" w:sz="4" w:space="0"/>
              <w:left w:val="nil"/>
              <w:bottom w:val="single" w:color="000000" w:sz="4" w:space="0"/>
              <w:right w:val="single" w:color="000000" w:sz="4" w:space="0"/>
            </w:tcBorders>
          </w:tcPr>
          <w:p>
            <w:pPr>
              <w:pStyle w:val="31"/>
              <w:spacing w:before="28"/>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2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2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28"/>
              <w:ind w:left="133" w:right="28"/>
              <w:jc w:val="center"/>
              <w:rPr>
                <w:rFonts w:cs="Times New Roman"/>
                <w:sz w:val="21"/>
                <w:szCs w:val="21"/>
              </w:rPr>
            </w:pPr>
            <w:r>
              <w:rPr>
                <w:rFonts w:hint="eastAsia" w:cs="Times New Roman"/>
                <w:sz w:val="21"/>
                <w:szCs w:val="21"/>
              </w:rPr>
              <w:t>47</w:t>
            </w:r>
          </w:p>
        </w:tc>
        <w:tc>
          <w:tcPr>
            <w:tcW w:w="3872" w:type="dxa"/>
            <w:tcBorders>
              <w:top w:val="single" w:color="000000" w:sz="4" w:space="0"/>
              <w:left w:val="nil"/>
              <w:bottom w:val="single" w:color="000000" w:sz="4" w:space="0"/>
              <w:right w:val="single" w:color="000000" w:sz="4" w:space="0"/>
            </w:tcBorders>
          </w:tcPr>
          <w:p>
            <w:pPr>
              <w:pStyle w:val="31"/>
              <w:spacing w:before="28"/>
              <w:ind w:left="16"/>
              <w:rPr>
                <w:rFonts w:cs="Times New Roman"/>
                <w:sz w:val="21"/>
                <w:szCs w:val="21"/>
              </w:rPr>
            </w:pPr>
            <w:r>
              <w:rPr>
                <w:rFonts w:hint="eastAsia" w:cs="Times New Roman"/>
                <w:sz w:val="21"/>
                <w:szCs w:val="21"/>
              </w:rPr>
              <w:t>当年撤消专业个数</w:t>
            </w:r>
          </w:p>
        </w:tc>
        <w:tc>
          <w:tcPr>
            <w:tcW w:w="708" w:type="dxa"/>
            <w:tcBorders>
              <w:top w:val="single" w:color="000000" w:sz="4" w:space="0"/>
              <w:left w:val="nil"/>
              <w:bottom w:val="single" w:color="000000" w:sz="4" w:space="0"/>
              <w:right w:val="single" w:color="000000" w:sz="4" w:space="0"/>
            </w:tcBorders>
          </w:tcPr>
          <w:p>
            <w:pPr>
              <w:pStyle w:val="31"/>
              <w:spacing w:before="28"/>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2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2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91"/>
              <w:ind w:left="72" w:right="67"/>
              <w:jc w:val="center"/>
              <w:rPr>
                <w:rFonts w:cs="Times New Roman"/>
                <w:sz w:val="21"/>
                <w:szCs w:val="21"/>
              </w:rPr>
            </w:pPr>
            <w:r>
              <w:rPr>
                <w:rFonts w:hint="eastAsia" w:cs="Times New Roman"/>
                <w:sz w:val="21"/>
                <w:szCs w:val="21"/>
              </w:rPr>
              <w:t>2.2.2</w:t>
            </w:r>
          </w:p>
          <w:p>
            <w:pPr>
              <w:pStyle w:val="31"/>
              <w:spacing w:before="4"/>
              <w:ind w:left="74" w:right="67"/>
              <w:jc w:val="center"/>
              <w:rPr>
                <w:rFonts w:cs="Times New Roman"/>
                <w:sz w:val="21"/>
                <w:szCs w:val="21"/>
              </w:rPr>
            </w:pPr>
            <w:r>
              <w:rPr>
                <w:rFonts w:hint="eastAsia" w:cs="Times New Roman"/>
                <w:sz w:val="21"/>
                <w:szCs w:val="21"/>
              </w:rPr>
              <w:t>校企共建实践教学基地</w:t>
            </w:r>
          </w:p>
        </w:tc>
        <w:tc>
          <w:tcPr>
            <w:tcW w:w="595" w:type="dxa"/>
            <w:tcBorders>
              <w:top w:val="single" w:color="000000" w:sz="4" w:space="0"/>
              <w:left w:val="nil"/>
              <w:bottom w:val="single" w:color="000000" w:sz="4" w:space="0"/>
              <w:right w:val="single" w:color="000000" w:sz="4" w:space="0"/>
            </w:tcBorders>
            <w:vAlign w:val="center"/>
          </w:tcPr>
          <w:p>
            <w:pPr>
              <w:pStyle w:val="31"/>
              <w:spacing w:before="26"/>
              <w:ind w:left="133" w:right="28"/>
              <w:jc w:val="center"/>
              <w:rPr>
                <w:rFonts w:cs="Times New Roman"/>
                <w:sz w:val="21"/>
                <w:szCs w:val="21"/>
              </w:rPr>
            </w:pPr>
            <w:r>
              <w:rPr>
                <w:rFonts w:hint="eastAsia" w:cs="Times New Roman"/>
                <w:sz w:val="21"/>
                <w:szCs w:val="21"/>
              </w:rPr>
              <w:t>48</w:t>
            </w:r>
          </w:p>
        </w:tc>
        <w:tc>
          <w:tcPr>
            <w:tcW w:w="3872" w:type="dxa"/>
            <w:tcBorders>
              <w:top w:val="single" w:color="000000" w:sz="4" w:space="0"/>
              <w:left w:val="nil"/>
              <w:bottom w:val="single" w:color="000000" w:sz="4" w:space="0"/>
              <w:right w:val="single" w:color="000000" w:sz="4" w:space="0"/>
            </w:tcBorders>
          </w:tcPr>
          <w:p>
            <w:pPr>
              <w:pStyle w:val="31"/>
              <w:spacing w:before="26"/>
              <w:ind w:left="16"/>
              <w:rPr>
                <w:rFonts w:cs="Times New Roman"/>
                <w:sz w:val="21"/>
                <w:szCs w:val="21"/>
              </w:rPr>
            </w:pPr>
            <w:r>
              <w:rPr>
                <w:rFonts w:hint="eastAsia" w:cs="Times New Roman"/>
                <w:sz w:val="21"/>
                <w:szCs w:val="21"/>
              </w:rPr>
              <w:t>累计校企共建产业二级学院数</w:t>
            </w:r>
          </w:p>
        </w:tc>
        <w:tc>
          <w:tcPr>
            <w:tcW w:w="708" w:type="dxa"/>
            <w:tcBorders>
              <w:top w:val="single" w:color="000000" w:sz="4" w:space="0"/>
              <w:left w:val="nil"/>
              <w:bottom w:val="single" w:color="000000" w:sz="4" w:space="0"/>
              <w:right w:val="single" w:color="000000" w:sz="4" w:space="0"/>
            </w:tcBorders>
          </w:tcPr>
          <w:p>
            <w:pPr>
              <w:pStyle w:val="31"/>
              <w:spacing w:before="26"/>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28"/>
              <w:ind w:left="133" w:right="28"/>
              <w:jc w:val="center"/>
              <w:rPr>
                <w:rFonts w:cs="Times New Roman"/>
                <w:sz w:val="21"/>
                <w:szCs w:val="21"/>
              </w:rPr>
            </w:pPr>
            <w:r>
              <w:rPr>
                <w:rFonts w:hint="eastAsia" w:cs="Times New Roman"/>
                <w:sz w:val="21"/>
                <w:szCs w:val="21"/>
              </w:rPr>
              <w:t>49</w:t>
            </w:r>
          </w:p>
        </w:tc>
        <w:tc>
          <w:tcPr>
            <w:tcW w:w="3872" w:type="dxa"/>
            <w:tcBorders>
              <w:top w:val="single" w:color="000000" w:sz="4" w:space="0"/>
              <w:left w:val="nil"/>
              <w:bottom w:val="single" w:color="000000" w:sz="4" w:space="0"/>
              <w:right w:val="single" w:color="000000" w:sz="4" w:space="0"/>
            </w:tcBorders>
          </w:tcPr>
          <w:p>
            <w:pPr>
              <w:pStyle w:val="31"/>
              <w:spacing w:before="28"/>
              <w:ind w:left="16"/>
              <w:rPr>
                <w:rFonts w:cs="Times New Roman"/>
                <w:sz w:val="21"/>
                <w:szCs w:val="21"/>
              </w:rPr>
            </w:pPr>
            <w:r>
              <w:rPr>
                <w:rFonts w:hint="eastAsia" w:cs="Times New Roman"/>
                <w:sz w:val="21"/>
                <w:szCs w:val="21"/>
              </w:rPr>
              <w:t>累计校企共建校内实践教学基地数</w:t>
            </w:r>
          </w:p>
        </w:tc>
        <w:tc>
          <w:tcPr>
            <w:tcW w:w="708" w:type="dxa"/>
            <w:tcBorders>
              <w:top w:val="single" w:color="000000" w:sz="4" w:space="0"/>
              <w:left w:val="nil"/>
              <w:bottom w:val="single" w:color="000000" w:sz="4" w:space="0"/>
              <w:right w:val="single" w:color="000000" w:sz="4" w:space="0"/>
            </w:tcBorders>
          </w:tcPr>
          <w:p>
            <w:pPr>
              <w:pStyle w:val="31"/>
              <w:spacing w:before="28"/>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8</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r>
              <w:rPr>
                <w:sz w:val="21"/>
                <w:szCs w:val="21"/>
              </w:rPr>
              <w:t>3</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28"/>
              <w:ind w:left="133" w:right="28"/>
              <w:jc w:val="center"/>
              <w:rPr>
                <w:rFonts w:cs="Times New Roman"/>
                <w:sz w:val="21"/>
                <w:szCs w:val="21"/>
              </w:rPr>
            </w:pPr>
            <w:r>
              <w:rPr>
                <w:rFonts w:hint="eastAsia" w:cs="Times New Roman"/>
                <w:sz w:val="21"/>
                <w:szCs w:val="21"/>
              </w:rPr>
              <w:t>50</w:t>
            </w:r>
          </w:p>
        </w:tc>
        <w:tc>
          <w:tcPr>
            <w:tcW w:w="3872" w:type="dxa"/>
            <w:tcBorders>
              <w:top w:val="single" w:color="000000" w:sz="4" w:space="0"/>
              <w:left w:val="nil"/>
              <w:bottom w:val="single" w:color="000000" w:sz="4" w:space="0"/>
              <w:right w:val="single" w:color="000000" w:sz="4" w:space="0"/>
            </w:tcBorders>
          </w:tcPr>
          <w:p>
            <w:pPr>
              <w:pStyle w:val="31"/>
              <w:spacing w:before="28"/>
              <w:ind w:left="16"/>
              <w:rPr>
                <w:rFonts w:cs="Times New Roman"/>
                <w:sz w:val="21"/>
                <w:szCs w:val="21"/>
              </w:rPr>
            </w:pPr>
            <w:r>
              <w:rPr>
                <w:rFonts w:hint="eastAsia" w:cs="Times New Roman"/>
                <w:sz w:val="21"/>
                <w:szCs w:val="21"/>
              </w:rPr>
              <w:t>累计校企共建校外实践教学基地数</w:t>
            </w:r>
          </w:p>
        </w:tc>
        <w:tc>
          <w:tcPr>
            <w:tcW w:w="708" w:type="dxa"/>
            <w:tcBorders>
              <w:top w:val="single" w:color="000000" w:sz="4" w:space="0"/>
              <w:left w:val="nil"/>
              <w:bottom w:val="single" w:color="000000" w:sz="4" w:space="0"/>
              <w:right w:val="single" w:color="000000" w:sz="4" w:space="0"/>
            </w:tcBorders>
          </w:tcPr>
          <w:p>
            <w:pPr>
              <w:pStyle w:val="31"/>
              <w:spacing w:before="28"/>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29</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5"/>
              <w:rPr>
                <w:sz w:val="21"/>
                <w:szCs w:val="21"/>
              </w:rPr>
            </w:pPr>
          </w:p>
          <w:p>
            <w:pPr>
              <w:pStyle w:val="31"/>
              <w:ind w:left="72" w:right="67"/>
              <w:jc w:val="center"/>
              <w:rPr>
                <w:rFonts w:cs="Times New Roman"/>
                <w:sz w:val="21"/>
                <w:szCs w:val="21"/>
              </w:rPr>
            </w:pPr>
            <w:r>
              <w:rPr>
                <w:rFonts w:hint="eastAsia" w:cs="Times New Roman"/>
                <w:sz w:val="21"/>
                <w:szCs w:val="21"/>
              </w:rPr>
              <w:t>2.2.3</w:t>
            </w:r>
          </w:p>
          <w:p>
            <w:pPr>
              <w:pStyle w:val="31"/>
              <w:spacing w:before="4"/>
              <w:ind w:left="74" w:right="67"/>
              <w:jc w:val="center"/>
              <w:rPr>
                <w:rFonts w:cs="Times New Roman"/>
                <w:sz w:val="21"/>
                <w:szCs w:val="21"/>
              </w:rPr>
            </w:pPr>
            <w:r>
              <w:rPr>
                <w:rFonts w:hint="eastAsia" w:cs="Times New Roman"/>
                <w:spacing w:val="-3"/>
                <w:sz w:val="21"/>
                <w:szCs w:val="21"/>
              </w:rPr>
              <w:t>校企共建精品</w:t>
            </w:r>
            <w:r>
              <w:rPr>
                <w:rFonts w:hint="eastAsia" w:cs="Times New Roman"/>
                <w:sz w:val="21"/>
                <w:szCs w:val="21"/>
              </w:rPr>
              <w:t>课程</w:t>
            </w:r>
          </w:p>
        </w:tc>
        <w:tc>
          <w:tcPr>
            <w:tcW w:w="595" w:type="dxa"/>
            <w:tcBorders>
              <w:top w:val="single" w:color="000000" w:sz="4" w:space="0"/>
              <w:left w:val="nil"/>
              <w:bottom w:val="single" w:color="000000" w:sz="4" w:space="0"/>
              <w:right w:val="single" w:color="000000" w:sz="4" w:space="0"/>
            </w:tcBorders>
            <w:vAlign w:val="center"/>
          </w:tcPr>
          <w:p>
            <w:pPr>
              <w:pStyle w:val="31"/>
              <w:spacing w:before="26"/>
              <w:ind w:left="133" w:right="28"/>
              <w:jc w:val="center"/>
              <w:rPr>
                <w:rFonts w:cs="Times New Roman"/>
                <w:sz w:val="21"/>
                <w:szCs w:val="21"/>
              </w:rPr>
            </w:pPr>
            <w:r>
              <w:rPr>
                <w:rFonts w:hint="eastAsia" w:cs="Times New Roman"/>
                <w:sz w:val="21"/>
                <w:szCs w:val="21"/>
              </w:rPr>
              <w:t>51</w:t>
            </w:r>
          </w:p>
        </w:tc>
        <w:tc>
          <w:tcPr>
            <w:tcW w:w="3872" w:type="dxa"/>
            <w:tcBorders>
              <w:top w:val="single" w:color="000000" w:sz="4" w:space="0"/>
              <w:left w:val="nil"/>
              <w:bottom w:val="single" w:color="000000" w:sz="4" w:space="0"/>
              <w:right w:val="single" w:color="000000" w:sz="4" w:space="0"/>
            </w:tcBorders>
          </w:tcPr>
          <w:p>
            <w:pPr>
              <w:pStyle w:val="31"/>
              <w:spacing w:before="26"/>
              <w:ind w:left="16"/>
              <w:rPr>
                <w:rFonts w:cs="Times New Roman"/>
                <w:sz w:val="21"/>
                <w:szCs w:val="21"/>
              </w:rPr>
            </w:pPr>
            <w:r>
              <w:rPr>
                <w:rFonts w:hint="eastAsia" w:cs="Times New Roman"/>
                <w:spacing w:val="-24"/>
                <w:sz w:val="21"/>
                <w:szCs w:val="21"/>
              </w:rPr>
              <w:t>累计校企共建校级精品在线开放课程数</w:t>
            </w:r>
          </w:p>
        </w:tc>
        <w:tc>
          <w:tcPr>
            <w:tcW w:w="708" w:type="dxa"/>
            <w:tcBorders>
              <w:top w:val="single" w:color="000000" w:sz="4" w:space="0"/>
              <w:left w:val="nil"/>
              <w:bottom w:val="single" w:color="000000" w:sz="4" w:space="0"/>
              <w:right w:val="single" w:color="000000" w:sz="4" w:space="0"/>
            </w:tcBorders>
          </w:tcPr>
          <w:p>
            <w:pPr>
              <w:pStyle w:val="31"/>
              <w:spacing w:before="26"/>
              <w:ind w:left="12"/>
              <w:jc w:val="center"/>
              <w:rPr>
                <w:rFonts w:cs="Times New Roman"/>
                <w:sz w:val="21"/>
                <w:szCs w:val="21"/>
              </w:rPr>
            </w:pPr>
            <w:r>
              <w:rPr>
                <w:rFonts w:hint="eastAsia" w:cs="Times New Roman"/>
                <w:sz w:val="21"/>
                <w:szCs w:val="21"/>
              </w:rPr>
              <w:t>门</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5</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7</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28"/>
              <w:ind w:left="133" w:right="28"/>
              <w:jc w:val="center"/>
              <w:rPr>
                <w:rFonts w:cs="Times New Roman"/>
                <w:sz w:val="21"/>
                <w:szCs w:val="21"/>
              </w:rPr>
            </w:pPr>
            <w:r>
              <w:rPr>
                <w:rFonts w:hint="eastAsia" w:cs="Times New Roman"/>
                <w:sz w:val="21"/>
                <w:szCs w:val="21"/>
              </w:rPr>
              <w:t>52</w:t>
            </w:r>
          </w:p>
        </w:tc>
        <w:tc>
          <w:tcPr>
            <w:tcW w:w="3872" w:type="dxa"/>
            <w:tcBorders>
              <w:top w:val="single" w:color="000000" w:sz="4" w:space="0"/>
              <w:left w:val="nil"/>
              <w:bottom w:val="single" w:color="000000" w:sz="4" w:space="0"/>
              <w:right w:val="single" w:color="000000" w:sz="4" w:space="0"/>
            </w:tcBorders>
          </w:tcPr>
          <w:p>
            <w:pPr>
              <w:pStyle w:val="31"/>
              <w:spacing w:before="28"/>
              <w:ind w:left="16"/>
              <w:rPr>
                <w:rFonts w:cs="Times New Roman"/>
                <w:sz w:val="21"/>
                <w:szCs w:val="21"/>
              </w:rPr>
            </w:pPr>
            <w:r>
              <w:rPr>
                <w:rFonts w:hint="eastAsia" w:cs="Times New Roman"/>
                <w:spacing w:val="-24"/>
                <w:sz w:val="21"/>
                <w:szCs w:val="21"/>
              </w:rPr>
              <w:t>累计校企共建省级精品在线开放课程数</w:t>
            </w:r>
          </w:p>
        </w:tc>
        <w:tc>
          <w:tcPr>
            <w:tcW w:w="708" w:type="dxa"/>
            <w:tcBorders>
              <w:top w:val="single" w:color="000000" w:sz="4" w:space="0"/>
              <w:left w:val="nil"/>
              <w:bottom w:val="single" w:color="000000" w:sz="4" w:space="0"/>
              <w:right w:val="single" w:color="000000" w:sz="4" w:space="0"/>
            </w:tcBorders>
          </w:tcPr>
          <w:p>
            <w:pPr>
              <w:pStyle w:val="31"/>
              <w:spacing w:before="28"/>
              <w:ind w:left="12"/>
              <w:jc w:val="center"/>
              <w:rPr>
                <w:rFonts w:cs="Times New Roman"/>
                <w:sz w:val="21"/>
                <w:szCs w:val="21"/>
              </w:rPr>
            </w:pPr>
            <w:r>
              <w:rPr>
                <w:rFonts w:hint="eastAsia" w:cs="Times New Roman"/>
                <w:sz w:val="21"/>
                <w:szCs w:val="21"/>
              </w:rPr>
              <w:t>门</w:t>
            </w:r>
          </w:p>
        </w:tc>
        <w:tc>
          <w:tcPr>
            <w:tcW w:w="852" w:type="dxa"/>
            <w:tcBorders>
              <w:top w:val="single" w:color="000000" w:sz="4" w:space="0"/>
              <w:left w:val="nil"/>
              <w:bottom w:val="single" w:color="000000" w:sz="4" w:space="0"/>
              <w:right w:val="single" w:color="000000" w:sz="4" w:space="0"/>
            </w:tcBorders>
            <w:vAlign w:val="center"/>
          </w:tcPr>
          <w:p>
            <w:pPr>
              <w:pStyle w:val="31"/>
              <w:spacing w:before="2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2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28"/>
              <w:ind w:left="73" w:right="62"/>
              <w:jc w:val="center"/>
              <w:rPr>
                <w:rFonts w:cs="Times New Roman"/>
                <w:sz w:val="21"/>
                <w:szCs w:val="21"/>
              </w:rPr>
            </w:pPr>
            <w:r>
              <w:rPr>
                <w:rFonts w:hint="eastAsia" w:cs="Times New Roman"/>
                <w:sz w:val="21"/>
                <w:szCs w:val="21"/>
              </w:rPr>
              <w:t>见文件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53</w:t>
            </w:r>
          </w:p>
        </w:tc>
        <w:tc>
          <w:tcPr>
            <w:tcW w:w="3872" w:type="dxa"/>
            <w:tcBorders>
              <w:top w:val="single" w:color="000000" w:sz="4" w:space="0"/>
              <w:left w:val="nil"/>
              <w:bottom w:val="single" w:color="000000" w:sz="4" w:space="0"/>
              <w:right w:val="single" w:color="000000" w:sz="4" w:space="0"/>
            </w:tcBorders>
          </w:tcPr>
          <w:p>
            <w:pPr>
              <w:pStyle w:val="31"/>
              <w:spacing w:before="14" w:line="310" w:lineRule="atLeast"/>
              <w:ind w:left="16" w:right="1"/>
              <w:rPr>
                <w:rFonts w:cs="Times New Roman"/>
                <w:sz w:val="21"/>
                <w:szCs w:val="21"/>
              </w:rPr>
            </w:pPr>
            <w:r>
              <w:rPr>
                <w:rFonts w:hint="eastAsia" w:cs="Times New Roman"/>
                <w:sz w:val="21"/>
                <w:szCs w:val="21"/>
              </w:rPr>
              <w:t>累计校企共建国家级精品在线开放课程数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门</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0"/>
              <w:ind w:left="73" w:right="62"/>
              <w:jc w:val="center"/>
              <w:rPr>
                <w:rFonts w:cs="Times New Roman"/>
                <w:sz w:val="21"/>
                <w:szCs w:val="21"/>
              </w:rPr>
            </w:pPr>
            <w:r>
              <w:rPr>
                <w:rFonts w:hint="eastAsia" w:cs="Times New Roman"/>
                <w:sz w:val="21"/>
                <w:szCs w:val="21"/>
              </w:rPr>
              <w:t>见文件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7"/>
              <w:rPr>
                <w:sz w:val="21"/>
                <w:szCs w:val="21"/>
              </w:rPr>
            </w:pPr>
          </w:p>
          <w:p>
            <w:pPr>
              <w:pStyle w:val="31"/>
              <w:spacing w:before="1"/>
              <w:ind w:left="72" w:right="67"/>
              <w:jc w:val="center"/>
              <w:rPr>
                <w:rFonts w:cs="Times New Roman"/>
                <w:sz w:val="21"/>
                <w:szCs w:val="21"/>
              </w:rPr>
            </w:pPr>
            <w:r>
              <w:rPr>
                <w:rFonts w:hint="eastAsia" w:cs="Times New Roman"/>
                <w:sz w:val="21"/>
                <w:szCs w:val="21"/>
              </w:rPr>
              <w:t>2.3.1</w:t>
            </w:r>
          </w:p>
          <w:p>
            <w:pPr>
              <w:pStyle w:val="31"/>
              <w:spacing w:before="2"/>
              <w:ind w:left="72" w:right="67"/>
              <w:jc w:val="center"/>
              <w:rPr>
                <w:rFonts w:cs="Times New Roman"/>
                <w:sz w:val="21"/>
                <w:szCs w:val="21"/>
              </w:rPr>
            </w:pPr>
            <w:r>
              <w:rPr>
                <w:rFonts w:hint="eastAsia" w:cs="Times New Roman"/>
                <w:sz w:val="21"/>
                <w:szCs w:val="21"/>
              </w:rPr>
              <w:t>现代学徒制</w:t>
            </w:r>
          </w:p>
        </w:tc>
        <w:tc>
          <w:tcPr>
            <w:tcW w:w="595" w:type="dxa"/>
            <w:tcBorders>
              <w:top w:val="single" w:color="000000" w:sz="4" w:space="0"/>
              <w:left w:val="nil"/>
              <w:bottom w:val="single" w:color="000000" w:sz="4" w:space="0"/>
              <w:right w:val="single" w:color="000000" w:sz="4" w:space="0"/>
            </w:tcBorders>
            <w:vAlign w:val="center"/>
          </w:tcPr>
          <w:p>
            <w:pPr>
              <w:pStyle w:val="31"/>
              <w:spacing w:before="28"/>
              <w:ind w:left="133" w:right="28"/>
              <w:jc w:val="center"/>
              <w:rPr>
                <w:rFonts w:cs="Times New Roman"/>
                <w:sz w:val="21"/>
                <w:szCs w:val="21"/>
              </w:rPr>
            </w:pPr>
            <w:r>
              <w:rPr>
                <w:rFonts w:hint="eastAsia" w:cs="Times New Roman"/>
                <w:sz w:val="21"/>
                <w:szCs w:val="21"/>
              </w:rPr>
              <w:t>54</w:t>
            </w:r>
          </w:p>
        </w:tc>
        <w:tc>
          <w:tcPr>
            <w:tcW w:w="3872" w:type="dxa"/>
            <w:tcBorders>
              <w:top w:val="single" w:color="000000" w:sz="4" w:space="0"/>
              <w:left w:val="nil"/>
              <w:bottom w:val="single" w:color="000000" w:sz="4" w:space="0"/>
              <w:right w:val="single" w:color="000000" w:sz="4" w:space="0"/>
            </w:tcBorders>
          </w:tcPr>
          <w:p>
            <w:pPr>
              <w:pStyle w:val="31"/>
              <w:spacing w:before="28"/>
              <w:ind w:left="16"/>
              <w:rPr>
                <w:rFonts w:cs="Times New Roman"/>
                <w:sz w:val="21"/>
                <w:szCs w:val="21"/>
              </w:rPr>
            </w:pPr>
            <w:r>
              <w:rPr>
                <w:rFonts w:hint="eastAsia" w:cs="Times New Roman"/>
                <w:sz w:val="21"/>
                <w:szCs w:val="21"/>
              </w:rPr>
              <w:t>当年实施现代学徒制的专业数</w:t>
            </w:r>
          </w:p>
        </w:tc>
        <w:tc>
          <w:tcPr>
            <w:tcW w:w="708" w:type="dxa"/>
            <w:tcBorders>
              <w:top w:val="single" w:color="000000" w:sz="4" w:space="0"/>
              <w:left w:val="nil"/>
              <w:bottom w:val="single" w:color="000000" w:sz="4" w:space="0"/>
              <w:right w:val="single" w:color="000000" w:sz="4" w:space="0"/>
            </w:tcBorders>
          </w:tcPr>
          <w:p>
            <w:pPr>
              <w:pStyle w:val="31"/>
              <w:spacing w:before="28"/>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3</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26"/>
              <w:ind w:left="133" w:right="28"/>
              <w:jc w:val="center"/>
              <w:rPr>
                <w:rFonts w:cs="Times New Roman"/>
                <w:sz w:val="21"/>
                <w:szCs w:val="21"/>
              </w:rPr>
            </w:pPr>
            <w:r>
              <w:rPr>
                <w:rFonts w:hint="eastAsia" w:cs="Times New Roman"/>
                <w:sz w:val="21"/>
                <w:szCs w:val="21"/>
              </w:rPr>
              <w:t>55</w:t>
            </w:r>
          </w:p>
        </w:tc>
        <w:tc>
          <w:tcPr>
            <w:tcW w:w="3872" w:type="dxa"/>
            <w:tcBorders>
              <w:top w:val="single" w:color="000000" w:sz="4" w:space="0"/>
              <w:left w:val="nil"/>
              <w:bottom w:val="single" w:color="000000" w:sz="4" w:space="0"/>
              <w:right w:val="single" w:color="000000" w:sz="4" w:space="0"/>
            </w:tcBorders>
          </w:tcPr>
          <w:p>
            <w:pPr>
              <w:pStyle w:val="31"/>
              <w:spacing w:before="26"/>
              <w:ind w:left="16"/>
              <w:rPr>
                <w:rFonts w:cs="Times New Roman"/>
                <w:sz w:val="21"/>
                <w:szCs w:val="21"/>
              </w:rPr>
            </w:pPr>
            <w:r>
              <w:rPr>
                <w:rFonts w:hint="eastAsia" w:cs="Times New Roman"/>
                <w:sz w:val="21"/>
                <w:szCs w:val="21"/>
              </w:rPr>
              <w:t>当年实施现代学徒制的在校生数</w:t>
            </w:r>
          </w:p>
        </w:tc>
        <w:tc>
          <w:tcPr>
            <w:tcW w:w="708" w:type="dxa"/>
            <w:tcBorders>
              <w:top w:val="single" w:color="000000" w:sz="4" w:space="0"/>
              <w:left w:val="nil"/>
              <w:bottom w:val="single" w:color="000000" w:sz="4" w:space="0"/>
              <w:right w:val="single" w:color="000000" w:sz="4" w:space="0"/>
            </w:tcBorders>
          </w:tcPr>
          <w:p>
            <w:pPr>
              <w:pStyle w:val="31"/>
              <w:spacing w:before="26"/>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100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980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28"/>
              <w:ind w:left="133" w:right="28"/>
              <w:jc w:val="center"/>
              <w:rPr>
                <w:rFonts w:cs="Times New Roman"/>
                <w:sz w:val="21"/>
                <w:szCs w:val="21"/>
              </w:rPr>
            </w:pPr>
            <w:r>
              <w:rPr>
                <w:rFonts w:hint="eastAsia" w:cs="Times New Roman"/>
                <w:sz w:val="21"/>
                <w:szCs w:val="21"/>
              </w:rPr>
              <w:t>56</w:t>
            </w:r>
          </w:p>
        </w:tc>
        <w:tc>
          <w:tcPr>
            <w:tcW w:w="3872" w:type="dxa"/>
            <w:tcBorders>
              <w:top w:val="single" w:color="000000" w:sz="4" w:space="0"/>
              <w:left w:val="nil"/>
              <w:bottom w:val="single" w:color="000000" w:sz="4" w:space="0"/>
              <w:right w:val="single" w:color="000000" w:sz="4" w:space="0"/>
            </w:tcBorders>
          </w:tcPr>
          <w:p>
            <w:pPr>
              <w:pStyle w:val="31"/>
              <w:spacing w:before="28"/>
              <w:ind w:left="16"/>
              <w:rPr>
                <w:rFonts w:cs="Times New Roman"/>
                <w:sz w:val="21"/>
                <w:szCs w:val="21"/>
              </w:rPr>
            </w:pPr>
            <w:r>
              <w:rPr>
                <w:rFonts w:hint="eastAsia" w:cs="Times New Roman"/>
                <w:sz w:val="21"/>
                <w:szCs w:val="21"/>
              </w:rPr>
              <w:t>当年实施现代学徒制的学生比例</w:t>
            </w:r>
          </w:p>
        </w:tc>
        <w:tc>
          <w:tcPr>
            <w:tcW w:w="708" w:type="dxa"/>
            <w:tcBorders>
              <w:top w:val="single" w:color="000000" w:sz="4" w:space="0"/>
              <w:left w:val="nil"/>
              <w:bottom w:val="single" w:color="000000" w:sz="4" w:space="0"/>
              <w:right w:val="single" w:color="000000" w:sz="4" w:space="0"/>
            </w:tcBorders>
          </w:tcPr>
          <w:p>
            <w:pPr>
              <w:pStyle w:val="31"/>
              <w:spacing w:before="28"/>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7</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r>
              <w:rPr>
                <w:sz w:val="21"/>
                <w:szCs w:val="21"/>
              </w:rPr>
              <w:t>1.14</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2.3.2</w:t>
            </w:r>
          </w:p>
          <w:p>
            <w:pPr>
              <w:pStyle w:val="31"/>
              <w:spacing w:before="2"/>
              <w:ind w:left="10" w:right="5"/>
              <w:jc w:val="center"/>
              <w:rPr>
                <w:rFonts w:cs="Times New Roman"/>
                <w:sz w:val="21"/>
                <w:szCs w:val="21"/>
              </w:rPr>
            </w:pPr>
            <w:r>
              <w:rPr>
                <w:rFonts w:hint="eastAsia" w:cs="Times New Roman"/>
                <w:sz w:val="21"/>
                <w:szCs w:val="21"/>
              </w:rPr>
              <w:t>多样化订单培</w:t>
            </w:r>
          </w:p>
          <w:p>
            <w:pPr>
              <w:pStyle w:val="31"/>
              <w:spacing w:before="5" w:line="306" w:lineRule="exact"/>
              <w:ind w:left="5"/>
              <w:jc w:val="center"/>
              <w:rPr>
                <w:rFonts w:cs="Times New Roman"/>
                <w:sz w:val="21"/>
                <w:szCs w:val="21"/>
              </w:rPr>
            </w:pPr>
            <w:r>
              <w:rPr>
                <w:rFonts w:hint="eastAsia" w:cs="Times New Roman"/>
                <w:sz w:val="21"/>
                <w:szCs w:val="21"/>
              </w:rPr>
              <w:t>养</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33" w:right="28"/>
              <w:jc w:val="center"/>
              <w:rPr>
                <w:rFonts w:cs="Times New Roman"/>
                <w:sz w:val="21"/>
                <w:szCs w:val="21"/>
              </w:rPr>
            </w:pPr>
            <w:r>
              <w:rPr>
                <w:rFonts w:hint="eastAsia" w:cs="Times New Roman"/>
                <w:sz w:val="21"/>
                <w:szCs w:val="21"/>
              </w:rPr>
              <w:t>57</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当年订单（定向）班数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7</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8"/>
              <w:ind w:left="133" w:right="28"/>
              <w:jc w:val="center"/>
              <w:rPr>
                <w:rFonts w:cs="Times New Roman"/>
                <w:sz w:val="21"/>
                <w:szCs w:val="21"/>
              </w:rPr>
            </w:pPr>
            <w:r>
              <w:rPr>
                <w:rFonts w:hint="eastAsia" w:cs="Times New Roman"/>
                <w:sz w:val="21"/>
                <w:szCs w:val="21"/>
              </w:rPr>
              <w:t>58</w:t>
            </w:r>
          </w:p>
        </w:tc>
        <w:tc>
          <w:tcPr>
            <w:tcW w:w="3872" w:type="dxa"/>
            <w:tcBorders>
              <w:top w:val="single" w:color="000000" w:sz="4" w:space="0"/>
              <w:left w:val="nil"/>
              <w:bottom w:val="single" w:color="000000" w:sz="4" w:space="0"/>
              <w:right w:val="single" w:color="000000" w:sz="4" w:space="0"/>
            </w:tcBorders>
          </w:tcPr>
          <w:p>
            <w:pPr>
              <w:pStyle w:val="31"/>
              <w:spacing w:before="148"/>
              <w:ind w:left="16"/>
              <w:rPr>
                <w:rFonts w:cs="Times New Roman"/>
                <w:sz w:val="21"/>
                <w:szCs w:val="21"/>
              </w:rPr>
            </w:pPr>
            <w:r>
              <w:rPr>
                <w:rFonts w:hint="eastAsia" w:cs="Times New Roman"/>
                <w:sz w:val="21"/>
                <w:szCs w:val="21"/>
              </w:rPr>
              <w:t>当年订单（定向）学生数</w:t>
            </w:r>
          </w:p>
        </w:tc>
        <w:tc>
          <w:tcPr>
            <w:tcW w:w="708" w:type="dxa"/>
            <w:tcBorders>
              <w:top w:val="single" w:color="000000" w:sz="4" w:space="0"/>
              <w:left w:val="nil"/>
              <w:bottom w:val="single" w:color="000000" w:sz="4" w:space="0"/>
              <w:right w:val="single" w:color="000000" w:sz="4" w:space="0"/>
            </w:tcBorders>
          </w:tcPr>
          <w:p>
            <w:pPr>
              <w:pStyle w:val="31"/>
              <w:spacing w:before="148"/>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5</w:t>
            </w:r>
            <w:r>
              <w:rPr>
                <w:sz w:val="21"/>
                <w:szCs w:val="21"/>
              </w:rPr>
              <w:t>52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6</w:t>
            </w:r>
            <w:r>
              <w:rPr>
                <w:sz w:val="21"/>
                <w:szCs w:val="21"/>
              </w:rPr>
              <w:t>32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6"/>
              <w:ind w:left="72" w:right="67"/>
              <w:jc w:val="center"/>
              <w:rPr>
                <w:rFonts w:cs="Times New Roman"/>
                <w:sz w:val="21"/>
                <w:szCs w:val="21"/>
              </w:rPr>
            </w:pPr>
            <w:r>
              <w:rPr>
                <w:rFonts w:hint="eastAsia" w:cs="Times New Roman"/>
                <w:sz w:val="21"/>
                <w:szCs w:val="21"/>
              </w:rPr>
              <w:t>2.3.3</w:t>
            </w:r>
          </w:p>
          <w:p>
            <w:pPr>
              <w:pStyle w:val="31"/>
              <w:spacing w:before="2"/>
              <w:ind w:left="72" w:right="67"/>
              <w:jc w:val="center"/>
              <w:rPr>
                <w:rFonts w:cs="Times New Roman"/>
                <w:sz w:val="21"/>
                <w:szCs w:val="21"/>
              </w:rPr>
            </w:pPr>
            <w:r>
              <w:rPr>
                <w:rFonts w:hint="eastAsia" w:cs="Times New Roman"/>
                <w:sz w:val="21"/>
                <w:szCs w:val="21"/>
              </w:rPr>
              <w:t>集团化办学</w:t>
            </w:r>
          </w:p>
        </w:tc>
        <w:tc>
          <w:tcPr>
            <w:tcW w:w="595" w:type="dxa"/>
            <w:vMerge w:val="restart"/>
            <w:tcBorders>
              <w:top w:val="nil"/>
              <w:left w:val="nil"/>
              <w:bottom w:val="single" w:color="000000" w:sz="4" w:space="0"/>
              <w:right w:val="single" w:color="000000" w:sz="4" w:space="0"/>
            </w:tcBorders>
            <w:vAlign w:val="center"/>
          </w:tcPr>
          <w:p>
            <w:pPr>
              <w:pStyle w:val="31"/>
              <w:spacing w:before="190"/>
              <w:ind w:left="225"/>
              <w:jc w:val="center"/>
              <w:rPr>
                <w:rFonts w:cs="Times New Roman"/>
                <w:sz w:val="21"/>
                <w:szCs w:val="21"/>
              </w:rPr>
            </w:pPr>
            <w:r>
              <w:rPr>
                <w:rFonts w:hint="eastAsia" w:cs="Times New Roman"/>
                <w:sz w:val="21"/>
                <w:szCs w:val="21"/>
              </w:rPr>
              <w:t>59</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牵头组建的职教集团（产业联盟）数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290"/>
              <w:rPr>
                <w:rFonts w:cs="Times New Roman"/>
                <w:sz w:val="21"/>
                <w:szCs w:val="21"/>
              </w:rPr>
            </w:pPr>
            <w:r>
              <w:rPr>
                <w:rFonts w:hint="eastAsia" w:cs="Times New Roman"/>
                <w:sz w:val="21"/>
                <w:szCs w:val="21"/>
              </w:rPr>
              <w:t>其中：国家级职教集团（产业联盟）数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3"/>
              <w:ind w:left="72" w:right="67"/>
              <w:jc w:val="center"/>
              <w:rPr>
                <w:rFonts w:cs="Times New Roman"/>
                <w:sz w:val="21"/>
                <w:szCs w:val="21"/>
              </w:rPr>
            </w:pPr>
            <w:r>
              <w:rPr>
                <w:rFonts w:hint="eastAsia" w:cs="Times New Roman"/>
                <w:sz w:val="21"/>
                <w:szCs w:val="21"/>
              </w:rPr>
              <w:t>2.4.1</w:t>
            </w:r>
          </w:p>
          <w:p>
            <w:pPr>
              <w:pStyle w:val="31"/>
              <w:spacing w:before="5"/>
              <w:ind w:left="72" w:right="67"/>
              <w:jc w:val="center"/>
              <w:rPr>
                <w:rFonts w:cs="Times New Roman"/>
                <w:sz w:val="21"/>
                <w:szCs w:val="21"/>
              </w:rPr>
            </w:pPr>
            <w:r>
              <w:rPr>
                <w:rFonts w:hint="eastAsia" w:cs="Times New Roman"/>
                <w:sz w:val="21"/>
                <w:szCs w:val="21"/>
              </w:rPr>
              <w:t>院校试点</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60</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1+X 证书制度试点专业数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4" w:line="306" w:lineRule="exact"/>
              <w:ind w:left="73" w:right="62"/>
              <w:jc w:val="center"/>
              <w:rPr>
                <w:rFonts w:cs="Times New Roman"/>
                <w:sz w:val="21"/>
                <w:szCs w:val="21"/>
              </w:rPr>
            </w:pPr>
            <w:r>
              <w:rPr>
                <w:rFonts w:hint="eastAsia" w:cs="Times New Roman"/>
                <w:sz w:val="21"/>
                <w:szCs w:val="21"/>
              </w:rPr>
              <w:t>见文件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61</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1+X 证书制度试点学生数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4" w:line="306" w:lineRule="exact"/>
              <w:ind w:left="73" w:right="62"/>
              <w:jc w:val="center"/>
              <w:rPr>
                <w:rFonts w:cs="Times New Roman"/>
                <w:sz w:val="21"/>
                <w:szCs w:val="21"/>
              </w:rPr>
            </w:pPr>
            <w:r>
              <w:rPr>
                <w:rFonts w:hint="eastAsia" w:cs="Times New Roman"/>
                <w:sz w:val="21"/>
                <w:szCs w:val="21"/>
              </w:rPr>
              <w:t>见文件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2.4.2</w:t>
            </w:r>
          </w:p>
          <w:p>
            <w:pPr>
              <w:pStyle w:val="31"/>
              <w:spacing w:before="2"/>
              <w:ind w:left="72" w:right="67"/>
              <w:jc w:val="center"/>
              <w:rPr>
                <w:rFonts w:cs="Times New Roman"/>
                <w:sz w:val="21"/>
                <w:szCs w:val="21"/>
              </w:rPr>
            </w:pPr>
            <w:r>
              <w:rPr>
                <w:rFonts w:hint="eastAsia" w:cs="Times New Roman"/>
                <w:sz w:val="21"/>
                <w:szCs w:val="21"/>
              </w:rPr>
              <w:t>专业探索</w:t>
            </w:r>
          </w:p>
        </w:tc>
        <w:tc>
          <w:tcPr>
            <w:tcW w:w="595" w:type="dxa"/>
            <w:tcBorders>
              <w:top w:val="single" w:color="000000" w:sz="4" w:space="0"/>
              <w:left w:val="nil"/>
              <w:bottom w:val="single" w:color="000000" w:sz="4" w:space="0"/>
              <w:right w:val="single" w:color="000000" w:sz="4" w:space="0"/>
            </w:tcBorders>
            <w:vAlign w:val="center"/>
          </w:tcPr>
          <w:p>
            <w:pPr>
              <w:pStyle w:val="31"/>
              <w:spacing w:before="172"/>
              <w:ind w:left="133" w:right="28"/>
              <w:jc w:val="center"/>
              <w:rPr>
                <w:rFonts w:cs="Times New Roman"/>
                <w:sz w:val="21"/>
                <w:szCs w:val="21"/>
              </w:rPr>
            </w:pPr>
            <w:r>
              <w:rPr>
                <w:rFonts w:hint="eastAsia" w:cs="Times New Roman"/>
                <w:sz w:val="21"/>
                <w:szCs w:val="21"/>
              </w:rPr>
              <w:t>62</w:t>
            </w:r>
          </w:p>
        </w:tc>
        <w:tc>
          <w:tcPr>
            <w:tcW w:w="3872" w:type="dxa"/>
            <w:tcBorders>
              <w:top w:val="single" w:color="000000" w:sz="4" w:space="0"/>
              <w:left w:val="nil"/>
              <w:bottom w:val="single" w:color="000000" w:sz="4" w:space="0"/>
              <w:right w:val="single" w:color="000000" w:sz="4" w:space="0"/>
            </w:tcBorders>
          </w:tcPr>
          <w:p>
            <w:pPr>
              <w:pStyle w:val="31"/>
              <w:spacing w:before="14" w:line="310" w:lineRule="atLeast"/>
              <w:ind w:left="16"/>
              <w:rPr>
                <w:rFonts w:cs="Times New Roman"/>
                <w:sz w:val="21"/>
                <w:szCs w:val="21"/>
              </w:rPr>
            </w:pPr>
            <w:r>
              <w:rPr>
                <w:rFonts w:hint="eastAsia" w:cs="Times New Roman"/>
                <w:sz w:val="21"/>
                <w:szCs w:val="21"/>
              </w:rPr>
              <w:t>开发融“职业技能等级证书”考核内容的课程标准数</w:t>
            </w:r>
          </w:p>
        </w:tc>
        <w:tc>
          <w:tcPr>
            <w:tcW w:w="708" w:type="dxa"/>
            <w:tcBorders>
              <w:top w:val="single" w:color="000000" w:sz="4" w:space="0"/>
              <w:left w:val="nil"/>
              <w:bottom w:val="single" w:color="000000" w:sz="4" w:space="0"/>
              <w:right w:val="single" w:color="000000" w:sz="4" w:space="0"/>
            </w:tcBorders>
          </w:tcPr>
          <w:p>
            <w:pPr>
              <w:pStyle w:val="31"/>
              <w:spacing w:before="172"/>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rPr>
                <w:sz w:val="21"/>
                <w:szCs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ind w:left="133" w:right="28"/>
              <w:jc w:val="center"/>
              <w:rPr>
                <w:rFonts w:cs="Times New Roman"/>
                <w:sz w:val="21"/>
                <w:szCs w:val="21"/>
              </w:rPr>
            </w:pPr>
            <w:r>
              <w:rPr>
                <w:rFonts w:hint="eastAsia" w:cs="Times New Roman"/>
                <w:sz w:val="21"/>
                <w:szCs w:val="21"/>
              </w:rPr>
              <w:t>63</w:t>
            </w:r>
          </w:p>
        </w:tc>
        <w:tc>
          <w:tcPr>
            <w:tcW w:w="3872" w:type="dxa"/>
            <w:tcBorders>
              <w:top w:val="single" w:color="000000" w:sz="4" w:space="0"/>
              <w:left w:val="nil"/>
              <w:bottom w:val="single" w:color="000000" w:sz="4" w:space="0"/>
              <w:right w:val="single" w:color="000000" w:sz="4" w:space="0"/>
            </w:tcBorders>
          </w:tcPr>
          <w:p>
            <w:pPr>
              <w:pStyle w:val="31"/>
              <w:spacing w:before="16"/>
              <w:ind w:left="16"/>
              <w:rPr>
                <w:rFonts w:cs="Times New Roman"/>
                <w:sz w:val="21"/>
                <w:szCs w:val="21"/>
              </w:rPr>
            </w:pPr>
            <w:r>
              <w:rPr>
                <w:rFonts w:hint="eastAsia" w:cs="Times New Roman"/>
                <w:spacing w:val="-12"/>
                <w:sz w:val="21"/>
                <w:szCs w:val="21"/>
              </w:rPr>
              <w:t xml:space="preserve">当年参加 </w:t>
            </w:r>
            <w:r>
              <w:rPr>
                <w:rFonts w:hint="eastAsia" w:cs="Times New Roman"/>
                <w:sz w:val="21"/>
                <w:szCs w:val="21"/>
              </w:rPr>
              <w:t>1+X</w:t>
            </w:r>
            <w:r>
              <w:rPr>
                <w:rFonts w:hint="eastAsia" w:cs="Times New Roman"/>
                <w:spacing w:val="-9"/>
                <w:sz w:val="21"/>
                <w:szCs w:val="21"/>
              </w:rPr>
              <w:t xml:space="preserve"> 证书制度培训的教师数</w:t>
            </w:r>
          </w:p>
        </w:tc>
        <w:tc>
          <w:tcPr>
            <w:tcW w:w="708" w:type="dxa"/>
            <w:tcBorders>
              <w:top w:val="single" w:color="000000" w:sz="4" w:space="0"/>
              <w:left w:val="nil"/>
              <w:bottom w:val="single" w:color="000000" w:sz="4" w:space="0"/>
              <w:right w:val="single" w:color="000000" w:sz="4" w:space="0"/>
            </w:tcBorders>
          </w:tcPr>
          <w:p>
            <w:pPr>
              <w:pStyle w:val="31"/>
              <w:spacing w:before="16"/>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5</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5</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5"/>
              <w:ind w:left="72" w:right="67"/>
              <w:jc w:val="center"/>
              <w:rPr>
                <w:rFonts w:cs="Times New Roman"/>
                <w:sz w:val="21"/>
                <w:szCs w:val="21"/>
              </w:rPr>
            </w:pPr>
            <w:r>
              <w:rPr>
                <w:rFonts w:hint="eastAsia" w:cs="Times New Roman"/>
                <w:sz w:val="21"/>
                <w:szCs w:val="21"/>
              </w:rPr>
              <w:t>2.5.1</w:t>
            </w:r>
          </w:p>
          <w:p>
            <w:pPr>
              <w:pStyle w:val="31"/>
              <w:spacing w:before="5"/>
              <w:ind w:left="10" w:right="5"/>
              <w:jc w:val="center"/>
              <w:rPr>
                <w:rFonts w:cs="Times New Roman"/>
                <w:sz w:val="21"/>
                <w:szCs w:val="21"/>
              </w:rPr>
            </w:pPr>
            <w:r>
              <w:rPr>
                <w:rFonts w:hint="eastAsia" w:cs="Times New Roman"/>
                <w:sz w:val="21"/>
                <w:szCs w:val="21"/>
              </w:rPr>
              <w:t>加强党的领导</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33" w:right="28"/>
              <w:jc w:val="center"/>
              <w:rPr>
                <w:rFonts w:cs="Times New Roman"/>
                <w:sz w:val="21"/>
                <w:szCs w:val="21"/>
              </w:rPr>
            </w:pPr>
            <w:r>
              <w:rPr>
                <w:rFonts w:hint="eastAsia" w:cs="Times New Roman"/>
                <w:sz w:val="21"/>
                <w:szCs w:val="21"/>
              </w:rPr>
              <w:t>64</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“五化”支部验收达标率</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65</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教师党支部书记“双带头人”的比例</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5</w:t>
            </w:r>
            <w:r>
              <w:rPr>
                <w:sz w:val="21"/>
                <w:szCs w:val="21"/>
              </w:rPr>
              <w:t>7</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5</w:t>
            </w:r>
            <w:r>
              <w:rPr>
                <w:sz w:val="21"/>
                <w:szCs w:val="21"/>
              </w:rPr>
              <w:t>7</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6"/>
              <w:ind w:left="72" w:right="67"/>
              <w:jc w:val="center"/>
              <w:rPr>
                <w:rFonts w:cs="Times New Roman"/>
                <w:sz w:val="21"/>
                <w:szCs w:val="21"/>
              </w:rPr>
            </w:pPr>
            <w:r>
              <w:rPr>
                <w:rFonts w:hint="eastAsia" w:cs="Times New Roman"/>
                <w:sz w:val="21"/>
                <w:szCs w:val="21"/>
              </w:rPr>
              <w:t>2.5.2</w:t>
            </w:r>
          </w:p>
          <w:p>
            <w:pPr>
              <w:pStyle w:val="31"/>
              <w:spacing w:before="2"/>
              <w:ind w:left="10" w:right="5"/>
              <w:jc w:val="center"/>
              <w:rPr>
                <w:rFonts w:cs="Times New Roman"/>
                <w:sz w:val="21"/>
                <w:szCs w:val="21"/>
              </w:rPr>
            </w:pPr>
            <w:r>
              <w:rPr>
                <w:rFonts w:hint="eastAsia" w:cs="Times New Roman"/>
                <w:sz w:val="21"/>
                <w:szCs w:val="21"/>
              </w:rPr>
              <w:t>提升治理能力</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66</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当年完善学校治理的相关制度数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7</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r>
              <w:rPr>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33" w:right="28"/>
              <w:jc w:val="center"/>
              <w:rPr>
                <w:rFonts w:cs="Times New Roman"/>
                <w:sz w:val="21"/>
                <w:szCs w:val="21"/>
              </w:rPr>
            </w:pPr>
            <w:r>
              <w:rPr>
                <w:rFonts w:hint="eastAsia" w:cs="Times New Roman"/>
                <w:sz w:val="21"/>
                <w:szCs w:val="21"/>
              </w:rPr>
              <w:t>67</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当年完善学校治理机构数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5</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5</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4"/>
              <w:ind w:left="72" w:right="67"/>
              <w:jc w:val="center"/>
              <w:rPr>
                <w:rFonts w:cs="Times New Roman"/>
                <w:sz w:val="21"/>
                <w:szCs w:val="21"/>
              </w:rPr>
            </w:pPr>
            <w:r>
              <w:rPr>
                <w:rFonts w:hint="eastAsia" w:cs="Times New Roman"/>
                <w:sz w:val="21"/>
                <w:szCs w:val="21"/>
              </w:rPr>
              <w:t>2.5.3</w:t>
            </w:r>
          </w:p>
          <w:p>
            <w:pPr>
              <w:pStyle w:val="31"/>
              <w:spacing w:before="4" w:line="306" w:lineRule="exact"/>
              <w:ind w:left="10" w:right="5"/>
              <w:jc w:val="center"/>
              <w:rPr>
                <w:rFonts w:cs="Times New Roman"/>
                <w:sz w:val="21"/>
                <w:szCs w:val="21"/>
              </w:rPr>
            </w:pPr>
            <w:r>
              <w:rPr>
                <w:rFonts w:hint="eastAsia" w:cs="Times New Roman"/>
                <w:sz w:val="21"/>
                <w:szCs w:val="21"/>
              </w:rPr>
              <w:t>关键领域改革</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68</w:t>
            </w:r>
          </w:p>
        </w:tc>
        <w:tc>
          <w:tcPr>
            <w:tcW w:w="3872" w:type="dxa"/>
            <w:tcBorders>
              <w:top w:val="single" w:color="000000" w:sz="4" w:space="0"/>
              <w:left w:val="nil"/>
              <w:bottom w:val="single" w:color="000000" w:sz="4" w:space="0"/>
              <w:right w:val="single" w:color="000000" w:sz="4" w:space="0"/>
            </w:tcBorders>
          </w:tcPr>
          <w:p>
            <w:pPr>
              <w:pStyle w:val="31"/>
              <w:spacing w:before="170"/>
              <w:ind w:left="16"/>
              <w:rPr>
                <w:rFonts w:cs="Times New Roman"/>
                <w:sz w:val="21"/>
                <w:szCs w:val="21"/>
              </w:rPr>
            </w:pPr>
            <w:r>
              <w:rPr>
                <w:rFonts w:hint="eastAsia" w:cs="Times New Roman"/>
                <w:sz w:val="21"/>
                <w:szCs w:val="21"/>
              </w:rPr>
              <w:t>当年关键领域改革项目数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项</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rPr>
                <w:sz w:val="21"/>
                <w:szCs w:val="21"/>
              </w:rPr>
            </w:pPr>
          </w:p>
          <w:p>
            <w:pPr>
              <w:pStyle w:val="31"/>
              <w:spacing w:before="180"/>
              <w:ind w:left="72" w:right="67"/>
              <w:jc w:val="center"/>
              <w:rPr>
                <w:rFonts w:cs="Times New Roman"/>
                <w:sz w:val="21"/>
                <w:szCs w:val="21"/>
              </w:rPr>
            </w:pPr>
            <w:r>
              <w:rPr>
                <w:rFonts w:hint="eastAsia" w:cs="Times New Roman"/>
                <w:sz w:val="21"/>
                <w:szCs w:val="21"/>
              </w:rPr>
              <w:t>2.6.1</w:t>
            </w:r>
          </w:p>
          <w:p>
            <w:pPr>
              <w:pStyle w:val="31"/>
              <w:spacing w:before="2"/>
              <w:ind w:left="72" w:right="67"/>
              <w:jc w:val="center"/>
              <w:rPr>
                <w:rFonts w:cs="Times New Roman"/>
                <w:sz w:val="21"/>
                <w:szCs w:val="21"/>
              </w:rPr>
            </w:pPr>
            <w:r>
              <w:rPr>
                <w:rFonts w:hint="eastAsia" w:cs="Times New Roman"/>
                <w:sz w:val="21"/>
                <w:szCs w:val="21"/>
              </w:rPr>
              <w:t>队伍结构</w:t>
            </w:r>
          </w:p>
        </w:tc>
        <w:tc>
          <w:tcPr>
            <w:tcW w:w="595" w:type="dxa"/>
            <w:tcBorders>
              <w:top w:val="single" w:color="000000" w:sz="4" w:space="0"/>
              <w:left w:val="nil"/>
              <w:bottom w:val="single" w:color="000000" w:sz="4" w:space="0"/>
              <w:right w:val="single" w:color="000000" w:sz="4" w:space="0"/>
            </w:tcBorders>
            <w:vAlign w:val="center"/>
          </w:tcPr>
          <w:p>
            <w:pPr>
              <w:pStyle w:val="31"/>
              <w:spacing w:before="48"/>
              <w:ind w:left="133" w:right="28"/>
              <w:jc w:val="center"/>
              <w:rPr>
                <w:rFonts w:cs="Times New Roman"/>
                <w:sz w:val="21"/>
                <w:szCs w:val="21"/>
              </w:rPr>
            </w:pPr>
            <w:r>
              <w:rPr>
                <w:rFonts w:hint="eastAsia" w:cs="Times New Roman"/>
                <w:sz w:val="21"/>
                <w:szCs w:val="21"/>
              </w:rPr>
              <w:t>69</w:t>
            </w:r>
          </w:p>
        </w:tc>
        <w:tc>
          <w:tcPr>
            <w:tcW w:w="3872" w:type="dxa"/>
            <w:tcBorders>
              <w:top w:val="single" w:color="000000" w:sz="4" w:space="0"/>
              <w:left w:val="nil"/>
              <w:bottom w:val="single" w:color="000000" w:sz="4" w:space="0"/>
              <w:right w:val="single" w:color="000000" w:sz="4" w:space="0"/>
            </w:tcBorders>
          </w:tcPr>
          <w:p>
            <w:pPr>
              <w:pStyle w:val="31"/>
              <w:spacing w:before="48"/>
              <w:ind w:left="16"/>
              <w:rPr>
                <w:rFonts w:cs="Times New Roman"/>
                <w:sz w:val="21"/>
                <w:szCs w:val="21"/>
              </w:rPr>
            </w:pPr>
            <w:r>
              <w:rPr>
                <w:rFonts w:hint="eastAsia" w:cs="Times New Roman"/>
                <w:sz w:val="21"/>
                <w:szCs w:val="21"/>
              </w:rPr>
              <w:t>专任教师数</w:t>
            </w:r>
          </w:p>
        </w:tc>
        <w:tc>
          <w:tcPr>
            <w:tcW w:w="708" w:type="dxa"/>
            <w:tcBorders>
              <w:top w:val="single" w:color="000000" w:sz="4" w:space="0"/>
              <w:left w:val="nil"/>
              <w:bottom w:val="single" w:color="000000" w:sz="4" w:space="0"/>
              <w:right w:val="single" w:color="000000" w:sz="4" w:space="0"/>
            </w:tcBorders>
          </w:tcPr>
          <w:p>
            <w:pPr>
              <w:pStyle w:val="31"/>
              <w:spacing w:before="48"/>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spacing w:before="4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4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48"/>
              <w:ind w:left="73" w:right="62"/>
              <w:jc w:val="center"/>
              <w:rPr>
                <w:rFonts w:cs="Times New Roman"/>
                <w:sz w:val="21"/>
                <w:szCs w:val="21"/>
              </w:rPr>
            </w:pPr>
            <w:r>
              <w:rPr>
                <w:rFonts w:hint="eastAsia" w:cs="Times New Roman"/>
                <w:sz w:val="21"/>
                <w:szCs w:val="21"/>
              </w:rPr>
              <w:t>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50"/>
              <w:ind w:left="133" w:right="28"/>
              <w:jc w:val="center"/>
              <w:rPr>
                <w:rFonts w:cs="Times New Roman"/>
                <w:sz w:val="21"/>
                <w:szCs w:val="21"/>
              </w:rPr>
            </w:pPr>
            <w:r>
              <w:rPr>
                <w:rFonts w:hint="eastAsia" w:cs="Times New Roman"/>
                <w:sz w:val="21"/>
                <w:szCs w:val="21"/>
              </w:rPr>
              <w:t>70</w:t>
            </w:r>
          </w:p>
        </w:tc>
        <w:tc>
          <w:tcPr>
            <w:tcW w:w="3872" w:type="dxa"/>
            <w:tcBorders>
              <w:top w:val="single" w:color="000000" w:sz="4" w:space="0"/>
              <w:left w:val="nil"/>
              <w:bottom w:val="single" w:color="000000" w:sz="4" w:space="0"/>
              <w:right w:val="single" w:color="000000" w:sz="4" w:space="0"/>
            </w:tcBorders>
          </w:tcPr>
          <w:p>
            <w:pPr>
              <w:pStyle w:val="31"/>
              <w:spacing w:before="50"/>
              <w:ind w:left="16"/>
              <w:rPr>
                <w:rFonts w:cs="Times New Roman"/>
                <w:sz w:val="21"/>
                <w:szCs w:val="21"/>
              </w:rPr>
            </w:pPr>
            <w:r>
              <w:rPr>
                <w:rFonts w:hint="eastAsia" w:cs="Times New Roman"/>
                <w:sz w:val="21"/>
                <w:szCs w:val="21"/>
              </w:rPr>
              <w:t>“双师型”教师比例</w:t>
            </w:r>
          </w:p>
        </w:tc>
        <w:tc>
          <w:tcPr>
            <w:tcW w:w="708" w:type="dxa"/>
            <w:tcBorders>
              <w:top w:val="single" w:color="000000" w:sz="4" w:space="0"/>
              <w:left w:val="nil"/>
              <w:bottom w:val="single" w:color="000000" w:sz="4" w:space="0"/>
              <w:right w:val="single" w:color="000000" w:sz="4" w:space="0"/>
            </w:tcBorders>
          </w:tcPr>
          <w:p>
            <w:pPr>
              <w:pStyle w:val="31"/>
              <w:spacing w:before="5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5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5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50"/>
              <w:ind w:left="74" w:right="61"/>
              <w:jc w:val="center"/>
              <w:rPr>
                <w:rFonts w:cs="Times New Roman"/>
                <w:sz w:val="21"/>
                <w:szCs w:val="21"/>
              </w:rPr>
            </w:pPr>
            <w:r>
              <w:rPr>
                <w:rFonts w:hint="eastAsia" w:cs="Times New Roman"/>
                <w:sz w:val="21"/>
                <w:szCs w:val="21"/>
              </w:rPr>
              <w:t>见表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48"/>
              <w:ind w:left="133" w:right="28"/>
              <w:jc w:val="center"/>
              <w:rPr>
                <w:rFonts w:cs="Times New Roman"/>
                <w:sz w:val="21"/>
                <w:szCs w:val="21"/>
              </w:rPr>
            </w:pPr>
            <w:r>
              <w:rPr>
                <w:rFonts w:hint="eastAsia" w:cs="Times New Roman"/>
                <w:sz w:val="21"/>
                <w:szCs w:val="21"/>
              </w:rPr>
              <w:t>71</w:t>
            </w:r>
          </w:p>
        </w:tc>
        <w:tc>
          <w:tcPr>
            <w:tcW w:w="3872" w:type="dxa"/>
            <w:tcBorders>
              <w:top w:val="single" w:color="000000" w:sz="4" w:space="0"/>
              <w:left w:val="nil"/>
              <w:bottom w:val="single" w:color="000000" w:sz="4" w:space="0"/>
              <w:right w:val="single" w:color="000000" w:sz="4" w:space="0"/>
            </w:tcBorders>
          </w:tcPr>
          <w:p>
            <w:pPr>
              <w:pStyle w:val="31"/>
              <w:spacing w:before="48"/>
              <w:ind w:left="16"/>
              <w:rPr>
                <w:rFonts w:cs="Times New Roman"/>
                <w:sz w:val="21"/>
                <w:szCs w:val="21"/>
              </w:rPr>
            </w:pPr>
            <w:r>
              <w:rPr>
                <w:rFonts w:hint="eastAsia" w:cs="Times New Roman"/>
                <w:sz w:val="21"/>
                <w:szCs w:val="21"/>
              </w:rPr>
              <w:t>研究生学历教师数</w:t>
            </w:r>
          </w:p>
        </w:tc>
        <w:tc>
          <w:tcPr>
            <w:tcW w:w="708" w:type="dxa"/>
            <w:tcBorders>
              <w:top w:val="single" w:color="000000" w:sz="4" w:space="0"/>
              <w:left w:val="nil"/>
              <w:bottom w:val="single" w:color="000000" w:sz="4" w:space="0"/>
              <w:right w:val="single" w:color="000000" w:sz="4" w:space="0"/>
            </w:tcBorders>
          </w:tcPr>
          <w:p>
            <w:pPr>
              <w:pStyle w:val="31"/>
              <w:spacing w:before="48"/>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spacing w:before="4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4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48"/>
              <w:ind w:left="73" w:right="62"/>
              <w:jc w:val="center"/>
              <w:rPr>
                <w:rFonts w:cs="Times New Roman"/>
                <w:sz w:val="21"/>
                <w:szCs w:val="21"/>
              </w:rPr>
            </w:pPr>
            <w:r>
              <w:rPr>
                <w:rFonts w:hint="eastAsia" w:cs="Times New Roman"/>
                <w:sz w:val="21"/>
                <w:szCs w:val="21"/>
              </w:rPr>
              <w:t>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50"/>
              <w:ind w:left="133" w:right="28"/>
              <w:jc w:val="center"/>
              <w:rPr>
                <w:rFonts w:cs="Times New Roman"/>
                <w:sz w:val="21"/>
                <w:szCs w:val="21"/>
              </w:rPr>
            </w:pPr>
            <w:r>
              <w:rPr>
                <w:rFonts w:hint="eastAsia" w:cs="Times New Roman"/>
                <w:sz w:val="21"/>
                <w:szCs w:val="21"/>
              </w:rPr>
              <w:t>72</w:t>
            </w:r>
          </w:p>
        </w:tc>
        <w:tc>
          <w:tcPr>
            <w:tcW w:w="3872" w:type="dxa"/>
            <w:tcBorders>
              <w:top w:val="single" w:color="000000" w:sz="4" w:space="0"/>
              <w:left w:val="nil"/>
              <w:bottom w:val="single" w:color="000000" w:sz="4" w:space="0"/>
              <w:right w:val="single" w:color="000000" w:sz="4" w:space="0"/>
            </w:tcBorders>
          </w:tcPr>
          <w:p>
            <w:pPr>
              <w:pStyle w:val="31"/>
              <w:spacing w:before="50"/>
              <w:ind w:left="16"/>
              <w:rPr>
                <w:rFonts w:cs="Times New Roman"/>
                <w:sz w:val="21"/>
                <w:szCs w:val="21"/>
              </w:rPr>
            </w:pPr>
            <w:r>
              <w:rPr>
                <w:rFonts w:hint="eastAsia" w:cs="Times New Roman"/>
                <w:sz w:val="21"/>
                <w:szCs w:val="21"/>
              </w:rPr>
              <w:t>高级职称教师数</w:t>
            </w:r>
          </w:p>
        </w:tc>
        <w:tc>
          <w:tcPr>
            <w:tcW w:w="708" w:type="dxa"/>
            <w:tcBorders>
              <w:top w:val="single" w:color="000000" w:sz="4" w:space="0"/>
              <w:left w:val="nil"/>
              <w:bottom w:val="single" w:color="000000" w:sz="4" w:space="0"/>
              <w:right w:val="single" w:color="000000" w:sz="4" w:space="0"/>
            </w:tcBorders>
          </w:tcPr>
          <w:p>
            <w:pPr>
              <w:pStyle w:val="31"/>
              <w:spacing w:before="50"/>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spacing w:before="5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5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50"/>
              <w:ind w:left="74" w:right="61"/>
              <w:jc w:val="center"/>
              <w:rPr>
                <w:rFonts w:cs="Times New Roman"/>
                <w:sz w:val="21"/>
                <w:szCs w:val="21"/>
              </w:rPr>
            </w:pPr>
            <w:r>
              <w:rPr>
                <w:rFonts w:hint="eastAsia" w:cs="Times New Roman"/>
                <w:sz w:val="21"/>
                <w:szCs w:val="21"/>
              </w:rPr>
              <w:t>见表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50"/>
              <w:ind w:left="133" w:right="28"/>
              <w:jc w:val="center"/>
              <w:rPr>
                <w:rFonts w:cs="Times New Roman"/>
                <w:sz w:val="21"/>
                <w:szCs w:val="21"/>
              </w:rPr>
            </w:pPr>
            <w:r>
              <w:rPr>
                <w:rFonts w:hint="eastAsia" w:cs="Times New Roman"/>
                <w:sz w:val="21"/>
                <w:szCs w:val="21"/>
              </w:rPr>
              <w:t>73</w:t>
            </w:r>
          </w:p>
        </w:tc>
        <w:tc>
          <w:tcPr>
            <w:tcW w:w="3872" w:type="dxa"/>
            <w:tcBorders>
              <w:top w:val="single" w:color="000000" w:sz="4" w:space="0"/>
              <w:left w:val="nil"/>
              <w:bottom w:val="single" w:color="000000" w:sz="4" w:space="0"/>
              <w:right w:val="single" w:color="000000" w:sz="4" w:space="0"/>
            </w:tcBorders>
          </w:tcPr>
          <w:p>
            <w:pPr>
              <w:pStyle w:val="31"/>
              <w:spacing w:before="50"/>
              <w:ind w:left="16"/>
              <w:rPr>
                <w:rFonts w:cs="Times New Roman"/>
                <w:sz w:val="21"/>
                <w:szCs w:val="21"/>
              </w:rPr>
            </w:pPr>
            <w:r>
              <w:rPr>
                <w:rFonts w:hint="eastAsia" w:cs="Times New Roman"/>
                <w:sz w:val="21"/>
                <w:szCs w:val="21"/>
              </w:rPr>
              <w:t>兼职教师比例</w:t>
            </w:r>
          </w:p>
        </w:tc>
        <w:tc>
          <w:tcPr>
            <w:tcW w:w="708" w:type="dxa"/>
            <w:tcBorders>
              <w:top w:val="single" w:color="000000" w:sz="4" w:space="0"/>
              <w:left w:val="nil"/>
              <w:bottom w:val="single" w:color="000000" w:sz="4" w:space="0"/>
              <w:right w:val="single" w:color="000000" w:sz="4" w:space="0"/>
            </w:tcBorders>
          </w:tcPr>
          <w:p>
            <w:pPr>
              <w:pStyle w:val="31"/>
              <w:spacing w:before="5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5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5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50"/>
              <w:ind w:left="73" w:right="62"/>
              <w:jc w:val="center"/>
              <w:rPr>
                <w:rFonts w:cs="Times New Roman"/>
                <w:sz w:val="21"/>
                <w:szCs w:val="21"/>
              </w:rPr>
            </w:pPr>
            <w:r>
              <w:rPr>
                <w:rFonts w:hint="eastAsia" w:cs="Times New Roman"/>
                <w:sz w:val="21"/>
                <w:szCs w:val="21"/>
              </w:rPr>
              <w:t>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3"/>
              <w:ind w:left="72" w:right="67"/>
              <w:jc w:val="center"/>
              <w:rPr>
                <w:rFonts w:cs="Times New Roman"/>
                <w:sz w:val="21"/>
                <w:szCs w:val="21"/>
              </w:rPr>
            </w:pPr>
            <w:r>
              <w:rPr>
                <w:rFonts w:hint="eastAsia" w:cs="Times New Roman"/>
                <w:sz w:val="21"/>
                <w:szCs w:val="21"/>
              </w:rPr>
              <w:t>2.6.2</w:t>
            </w:r>
          </w:p>
          <w:p>
            <w:pPr>
              <w:pStyle w:val="31"/>
              <w:spacing w:before="5"/>
              <w:ind w:left="14" w:right="5"/>
              <w:jc w:val="center"/>
              <w:rPr>
                <w:rFonts w:cs="Times New Roman"/>
                <w:sz w:val="21"/>
                <w:szCs w:val="21"/>
              </w:rPr>
            </w:pPr>
            <w:r>
              <w:rPr>
                <w:rFonts w:hint="eastAsia" w:cs="Times New Roman"/>
                <w:spacing w:val="-20"/>
                <w:sz w:val="21"/>
                <w:szCs w:val="21"/>
              </w:rPr>
              <w:t>“双师型”教师</w:t>
            </w:r>
            <w:r>
              <w:rPr>
                <w:rFonts w:hint="eastAsia" w:cs="Times New Roman"/>
                <w:sz w:val="21"/>
                <w:szCs w:val="21"/>
              </w:rPr>
              <w:t>培养培训</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74</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校企共建“双师型”教师培训基地数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5</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5</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75</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当年到企业顶岗实践累计达 30 天的教师数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6</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4"/>
              <w:ind w:left="72" w:right="67"/>
              <w:jc w:val="center"/>
              <w:rPr>
                <w:rFonts w:cs="Times New Roman"/>
                <w:sz w:val="21"/>
                <w:szCs w:val="21"/>
              </w:rPr>
            </w:pPr>
            <w:r>
              <w:rPr>
                <w:rFonts w:hint="eastAsia" w:cs="Times New Roman"/>
                <w:sz w:val="21"/>
                <w:szCs w:val="21"/>
              </w:rPr>
              <w:t>2.6.3</w:t>
            </w:r>
          </w:p>
          <w:p>
            <w:pPr>
              <w:pStyle w:val="31"/>
              <w:spacing w:before="2" w:line="310" w:lineRule="atLeast"/>
              <w:ind w:left="74" w:right="67"/>
              <w:jc w:val="center"/>
              <w:rPr>
                <w:rFonts w:cs="Times New Roman"/>
                <w:sz w:val="21"/>
                <w:szCs w:val="21"/>
              </w:rPr>
            </w:pPr>
            <w:r>
              <w:rPr>
                <w:rFonts w:hint="eastAsia" w:cs="Times New Roman"/>
                <w:spacing w:val="-3"/>
                <w:sz w:val="21"/>
                <w:szCs w:val="21"/>
              </w:rPr>
              <w:t>名师大师队伍</w:t>
            </w:r>
            <w:r>
              <w:rPr>
                <w:rFonts w:hint="eastAsia" w:cs="Times New Roman"/>
                <w:sz w:val="21"/>
                <w:szCs w:val="21"/>
              </w:rPr>
              <w:t>建设</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76</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累计建设名师大师工作室数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1</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51"/>
              <w:ind w:left="133" w:right="28"/>
              <w:jc w:val="center"/>
              <w:rPr>
                <w:rFonts w:cs="Times New Roman"/>
                <w:sz w:val="21"/>
                <w:szCs w:val="21"/>
              </w:rPr>
            </w:pPr>
            <w:r>
              <w:rPr>
                <w:rFonts w:hint="eastAsia" w:cs="Times New Roman"/>
                <w:sz w:val="21"/>
                <w:szCs w:val="21"/>
              </w:rPr>
              <w:t>77</w:t>
            </w:r>
          </w:p>
        </w:tc>
        <w:tc>
          <w:tcPr>
            <w:tcW w:w="3872" w:type="dxa"/>
            <w:tcBorders>
              <w:top w:val="single" w:color="000000" w:sz="4" w:space="0"/>
              <w:left w:val="nil"/>
              <w:bottom w:val="single" w:color="000000" w:sz="4" w:space="0"/>
              <w:right w:val="single" w:color="000000" w:sz="4" w:space="0"/>
            </w:tcBorders>
          </w:tcPr>
          <w:p>
            <w:pPr>
              <w:pStyle w:val="31"/>
              <w:spacing w:before="151"/>
              <w:ind w:left="16"/>
              <w:rPr>
                <w:rFonts w:cs="Times New Roman"/>
                <w:sz w:val="21"/>
                <w:szCs w:val="21"/>
              </w:rPr>
            </w:pPr>
            <w:r>
              <w:rPr>
                <w:rFonts w:hint="eastAsia" w:cs="Times New Roman"/>
                <w:sz w:val="21"/>
                <w:szCs w:val="21"/>
              </w:rPr>
              <w:t>累计引进、培养高层次领军人才数</w:t>
            </w:r>
          </w:p>
        </w:tc>
        <w:tc>
          <w:tcPr>
            <w:tcW w:w="708" w:type="dxa"/>
            <w:tcBorders>
              <w:top w:val="single" w:color="000000" w:sz="4" w:space="0"/>
              <w:left w:val="nil"/>
              <w:bottom w:val="single" w:color="000000" w:sz="4" w:space="0"/>
              <w:right w:val="single" w:color="000000" w:sz="4" w:space="0"/>
            </w:tcBorders>
          </w:tcPr>
          <w:p>
            <w:pPr>
              <w:pStyle w:val="31"/>
              <w:spacing w:before="151"/>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4</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7</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4"/>
              <w:ind w:left="72" w:right="67"/>
              <w:jc w:val="center"/>
              <w:rPr>
                <w:rFonts w:cs="Times New Roman"/>
                <w:sz w:val="21"/>
                <w:szCs w:val="21"/>
              </w:rPr>
            </w:pPr>
            <w:r>
              <w:rPr>
                <w:rFonts w:hint="eastAsia" w:cs="Times New Roman"/>
                <w:sz w:val="21"/>
                <w:szCs w:val="21"/>
              </w:rPr>
              <w:t>2.6.4</w:t>
            </w:r>
          </w:p>
          <w:p>
            <w:pPr>
              <w:pStyle w:val="31"/>
              <w:spacing w:before="4"/>
              <w:ind w:left="10" w:right="5"/>
              <w:jc w:val="center"/>
              <w:rPr>
                <w:rFonts w:cs="Times New Roman"/>
                <w:sz w:val="21"/>
                <w:szCs w:val="21"/>
              </w:rPr>
            </w:pPr>
            <w:r>
              <w:rPr>
                <w:rFonts w:hint="eastAsia" w:cs="Times New Roman"/>
                <w:sz w:val="21"/>
                <w:szCs w:val="21"/>
              </w:rPr>
              <w:t>教学创新团队</w:t>
            </w:r>
          </w:p>
          <w:p>
            <w:pPr>
              <w:pStyle w:val="31"/>
              <w:spacing w:before="5" w:line="304" w:lineRule="exact"/>
              <w:ind w:left="72" w:right="67"/>
              <w:jc w:val="center"/>
              <w:rPr>
                <w:rFonts w:cs="Times New Roman"/>
                <w:sz w:val="21"/>
                <w:szCs w:val="21"/>
              </w:rPr>
            </w:pPr>
            <w:r>
              <w:rPr>
                <w:rFonts w:hint="eastAsia" w:cs="Times New Roman"/>
                <w:sz w:val="21"/>
                <w:szCs w:val="21"/>
              </w:rPr>
              <w:t>建设</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78</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建设校级以上教学创新团队数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5</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51"/>
              <w:ind w:left="133" w:right="28"/>
              <w:jc w:val="center"/>
              <w:rPr>
                <w:rFonts w:cs="Times New Roman"/>
                <w:sz w:val="21"/>
                <w:szCs w:val="21"/>
              </w:rPr>
            </w:pPr>
            <w:r>
              <w:rPr>
                <w:rFonts w:hint="eastAsia" w:cs="Times New Roman"/>
                <w:sz w:val="21"/>
                <w:szCs w:val="21"/>
              </w:rPr>
              <w:t>79</w:t>
            </w:r>
          </w:p>
        </w:tc>
        <w:tc>
          <w:tcPr>
            <w:tcW w:w="3872" w:type="dxa"/>
            <w:tcBorders>
              <w:top w:val="single" w:color="000000" w:sz="4" w:space="0"/>
              <w:left w:val="nil"/>
              <w:bottom w:val="single" w:color="000000" w:sz="4" w:space="0"/>
              <w:right w:val="single" w:color="000000" w:sz="4" w:space="0"/>
            </w:tcBorders>
          </w:tcPr>
          <w:p>
            <w:pPr>
              <w:pStyle w:val="31"/>
              <w:spacing w:before="151"/>
              <w:ind w:left="16"/>
              <w:rPr>
                <w:rFonts w:cs="Times New Roman"/>
                <w:sz w:val="21"/>
                <w:szCs w:val="21"/>
              </w:rPr>
            </w:pPr>
            <w:r>
              <w:rPr>
                <w:rFonts w:hint="eastAsia" w:cs="Times New Roman"/>
                <w:sz w:val="21"/>
                <w:szCs w:val="21"/>
              </w:rPr>
              <w:t>教学团队中企业技术专家数</w:t>
            </w:r>
          </w:p>
        </w:tc>
        <w:tc>
          <w:tcPr>
            <w:tcW w:w="708" w:type="dxa"/>
            <w:tcBorders>
              <w:top w:val="single" w:color="000000" w:sz="4" w:space="0"/>
              <w:left w:val="nil"/>
              <w:bottom w:val="single" w:color="000000" w:sz="4" w:space="0"/>
              <w:right w:val="single" w:color="000000" w:sz="4" w:space="0"/>
            </w:tcBorders>
          </w:tcPr>
          <w:p>
            <w:pPr>
              <w:pStyle w:val="31"/>
              <w:spacing w:before="151"/>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6</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211"/>
              <w:ind w:left="72" w:right="67"/>
              <w:jc w:val="center"/>
              <w:rPr>
                <w:rFonts w:cs="Times New Roman"/>
                <w:sz w:val="21"/>
                <w:szCs w:val="21"/>
              </w:rPr>
            </w:pPr>
            <w:r>
              <w:rPr>
                <w:rFonts w:hint="eastAsia" w:cs="Times New Roman"/>
                <w:sz w:val="21"/>
                <w:szCs w:val="21"/>
              </w:rPr>
              <w:t>2.7.1</w:t>
            </w:r>
          </w:p>
          <w:p>
            <w:pPr>
              <w:pStyle w:val="31"/>
              <w:spacing w:before="4"/>
              <w:ind w:left="72" w:right="67"/>
              <w:jc w:val="center"/>
              <w:rPr>
                <w:rFonts w:cs="Times New Roman"/>
                <w:sz w:val="21"/>
                <w:szCs w:val="21"/>
              </w:rPr>
            </w:pPr>
            <w:r>
              <w:rPr>
                <w:rFonts w:hint="eastAsia" w:cs="Times New Roman"/>
                <w:sz w:val="21"/>
                <w:szCs w:val="21"/>
              </w:rPr>
              <w:t>标准建设</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33" w:right="28"/>
              <w:jc w:val="center"/>
              <w:rPr>
                <w:rFonts w:cs="Times New Roman"/>
                <w:sz w:val="21"/>
                <w:szCs w:val="21"/>
              </w:rPr>
            </w:pPr>
            <w:r>
              <w:rPr>
                <w:rFonts w:hint="eastAsia" w:cs="Times New Roman"/>
                <w:sz w:val="21"/>
                <w:szCs w:val="21"/>
              </w:rPr>
              <w:t>80</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累计开发校级专业教学标准数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8</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9</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81</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累计牵头开发的国家专业教学标准数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left="133" w:right="28"/>
              <w:jc w:val="center"/>
              <w:rPr>
                <w:rFonts w:cs="Times New Roman"/>
                <w:sz w:val="21"/>
                <w:szCs w:val="21"/>
              </w:rPr>
            </w:pPr>
            <w:r>
              <w:rPr>
                <w:rFonts w:hint="eastAsia" w:cs="Times New Roman"/>
                <w:sz w:val="21"/>
                <w:szCs w:val="21"/>
              </w:rPr>
              <w:t>82</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累计开发的其他标准数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r>
              <w:rPr>
                <w:sz w:val="21"/>
                <w:szCs w:val="21"/>
              </w:rPr>
              <w:t>85</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r>
              <w:rPr>
                <w:sz w:val="21"/>
                <w:szCs w:val="21"/>
              </w:rPr>
              <w:t>90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4"/>
              <w:ind w:left="72" w:right="67"/>
              <w:jc w:val="center"/>
              <w:rPr>
                <w:rFonts w:cs="Times New Roman"/>
                <w:sz w:val="21"/>
                <w:szCs w:val="21"/>
              </w:rPr>
            </w:pPr>
            <w:r>
              <w:rPr>
                <w:rFonts w:hint="eastAsia" w:cs="Times New Roman"/>
                <w:sz w:val="21"/>
                <w:szCs w:val="21"/>
              </w:rPr>
              <w:t>2.7.2</w:t>
            </w:r>
          </w:p>
          <w:p>
            <w:pPr>
              <w:pStyle w:val="31"/>
              <w:spacing w:before="4" w:line="306" w:lineRule="exact"/>
              <w:ind w:left="72" w:right="67"/>
              <w:jc w:val="center"/>
              <w:rPr>
                <w:rFonts w:cs="Times New Roman"/>
                <w:sz w:val="21"/>
                <w:szCs w:val="21"/>
              </w:rPr>
            </w:pPr>
            <w:r>
              <w:rPr>
                <w:rFonts w:hint="eastAsia" w:cs="Times New Roman"/>
                <w:sz w:val="21"/>
                <w:szCs w:val="21"/>
              </w:rPr>
              <w:t>模块化教学</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83</w:t>
            </w:r>
          </w:p>
        </w:tc>
        <w:tc>
          <w:tcPr>
            <w:tcW w:w="3872" w:type="dxa"/>
            <w:tcBorders>
              <w:top w:val="single" w:color="000000" w:sz="4" w:space="0"/>
              <w:left w:val="nil"/>
              <w:bottom w:val="single" w:color="000000" w:sz="4" w:space="0"/>
              <w:right w:val="single" w:color="000000" w:sz="4" w:space="0"/>
            </w:tcBorders>
          </w:tcPr>
          <w:p>
            <w:pPr>
              <w:pStyle w:val="31"/>
              <w:spacing w:before="170"/>
              <w:ind w:left="16"/>
              <w:rPr>
                <w:rFonts w:cs="Times New Roman"/>
                <w:sz w:val="21"/>
                <w:szCs w:val="21"/>
              </w:rPr>
            </w:pPr>
            <w:r>
              <w:rPr>
                <w:rFonts w:hint="eastAsia" w:cs="Times New Roman"/>
                <w:sz w:val="21"/>
                <w:szCs w:val="21"/>
              </w:rPr>
              <w:t>实施模块化教学的课程数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门</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158"/>
              <w:ind w:left="72" w:right="67"/>
              <w:jc w:val="center"/>
              <w:rPr>
                <w:rFonts w:cs="Times New Roman"/>
                <w:sz w:val="21"/>
                <w:szCs w:val="21"/>
              </w:rPr>
            </w:pPr>
            <w:r>
              <w:rPr>
                <w:rFonts w:hint="eastAsia" w:cs="Times New Roman"/>
                <w:sz w:val="21"/>
                <w:szCs w:val="21"/>
              </w:rPr>
              <w:t>2.7.3</w:t>
            </w:r>
          </w:p>
          <w:p>
            <w:pPr>
              <w:pStyle w:val="31"/>
              <w:spacing w:before="2"/>
              <w:ind w:left="10" w:right="5"/>
              <w:jc w:val="center"/>
              <w:rPr>
                <w:rFonts w:cs="Times New Roman"/>
                <w:sz w:val="21"/>
                <w:szCs w:val="21"/>
              </w:rPr>
            </w:pPr>
            <w:r>
              <w:rPr>
                <w:rFonts w:hint="eastAsia" w:cs="Times New Roman"/>
                <w:sz w:val="21"/>
                <w:szCs w:val="21"/>
              </w:rPr>
              <w:t>信息技术应用</w:t>
            </w: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33" w:right="28"/>
              <w:jc w:val="center"/>
              <w:rPr>
                <w:rFonts w:cs="Times New Roman"/>
                <w:sz w:val="21"/>
                <w:szCs w:val="21"/>
              </w:rPr>
            </w:pPr>
            <w:r>
              <w:rPr>
                <w:rFonts w:hint="eastAsia" w:cs="Times New Roman"/>
                <w:sz w:val="21"/>
                <w:szCs w:val="21"/>
              </w:rPr>
              <w:t>84</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pacing w:val="-24"/>
                <w:sz w:val="21"/>
                <w:szCs w:val="21"/>
              </w:rPr>
              <w:t>累计建设校级以上数字化教学资源库数</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restart"/>
            <w:tcBorders>
              <w:top w:val="nil"/>
              <w:left w:val="nil"/>
              <w:bottom w:val="single" w:color="000000" w:sz="4" w:space="0"/>
              <w:right w:val="single" w:color="000000" w:sz="4" w:space="0"/>
            </w:tcBorders>
            <w:vAlign w:val="center"/>
          </w:tcPr>
          <w:p>
            <w:pPr>
              <w:pStyle w:val="31"/>
              <w:spacing w:before="189"/>
              <w:ind w:left="225"/>
              <w:jc w:val="center"/>
              <w:rPr>
                <w:rFonts w:cs="Times New Roman"/>
                <w:sz w:val="21"/>
                <w:szCs w:val="21"/>
              </w:rPr>
            </w:pPr>
            <w:r>
              <w:rPr>
                <w:rFonts w:hint="eastAsia" w:cs="Times New Roman"/>
                <w:sz w:val="21"/>
                <w:szCs w:val="21"/>
              </w:rPr>
              <w:t>85</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数字化资源的总容量</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95" w:right="83"/>
              <w:jc w:val="center"/>
              <w:rPr>
                <w:rFonts w:cs="Times New Roman"/>
                <w:sz w:val="21"/>
                <w:szCs w:val="21"/>
              </w:rPr>
            </w:pPr>
            <w:r>
              <w:rPr>
                <w:rFonts w:hint="eastAsia" w:cs="Times New Roman"/>
                <w:sz w:val="21"/>
                <w:szCs w:val="21"/>
              </w:rPr>
              <w:t>GB</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44940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45090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其中：原创性数字化资源的总容量</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95" w:right="83"/>
              <w:jc w:val="center"/>
              <w:rPr>
                <w:rFonts w:cs="Times New Roman"/>
                <w:sz w:val="21"/>
                <w:szCs w:val="21"/>
              </w:rPr>
            </w:pPr>
            <w:r>
              <w:rPr>
                <w:rFonts w:hint="eastAsia" w:cs="Times New Roman"/>
                <w:sz w:val="21"/>
                <w:szCs w:val="21"/>
              </w:rPr>
              <w:t>GB</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33" w:right="28"/>
              <w:jc w:val="center"/>
              <w:rPr>
                <w:rFonts w:cs="Times New Roman"/>
                <w:sz w:val="21"/>
                <w:szCs w:val="21"/>
              </w:rPr>
            </w:pPr>
            <w:r>
              <w:rPr>
                <w:rFonts w:hint="eastAsia" w:cs="Times New Roman"/>
                <w:sz w:val="21"/>
                <w:szCs w:val="21"/>
              </w:rPr>
              <w:t>86</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当年智慧课堂教学课时占总课时的比例</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7"/>
              <w:rPr>
                <w:sz w:val="21"/>
                <w:szCs w:val="21"/>
              </w:rPr>
            </w:pPr>
          </w:p>
          <w:p>
            <w:pPr>
              <w:pStyle w:val="31"/>
              <w:ind w:left="72" w:right="67"/>
              <w:jc w:val="center"/>
              <w:rPr>
                <w:rFonts w:cs="Times New Roman"/>
                <w:sz w:val="21"/>
                <w:szCs w:val="21"/>
              </w:rPr>
            </w:pPr>
            <w:r>
              <w:rPr>
                <w:rFonts w:hint="eastAsia" w:cs="Times New Roman"/>
                <w:sz w:val="21"/>
                <w:szCs w:val="21"/>
              </w:rPr>
              <w:t>2.7.4</w:t>
            </w:r>
          </w:p>
          <w:p>
            <w:pPr>
              <w:pStyle w:val="31"/>
              <w:spacing w:before="2"/>
              <w:ind w:left="72" w:right="67"/>
              <w:jc w:val="center"/>
              <w:rPr>
                <w:rFonts w:cs="Times New Roman"/>
                <w:sz w:val="21"/>
                <w:szCs w:val="21"/>
              </w:rPr>
            </w:pPr>
            <w:r>
              <w:rPr>
                <w:rFonts w:hint="eastAsia" w:cs="Times New Roman"/>
                <w:sz w:val="21"/>
                <w:szCs w:val="21"/>
              </w:rPr>
              <w:t>教材改革</w:t>
            </w: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33" w:right="28"/>
              <w:jc w:val="center"/>
              <w:rPr>
                <w:rFonts w:cs="Times New Roman"/>
                <w:sz w:val="21"/>
                <w:szCs w:val="21"/>
              </w:rPr>
            </w:pPr>
            <w:r>
              <w:rPr>
                <w:rFonts w:hint="eastAsia" w:cs="Times New Roman"/>
                <w:sz w:val="21"/>
                <w:szCs w:val="21"/>
              </w:rPr>
              <w:t>87</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校企合作开发教材数</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本</w:t>
            </w:r>
          </w:p>
        </w:tc>
        <w:tc>
          <w:tcPr>
            <w:tcW w:w="852" w:type="dxa"/>
            <w:tcBorders>
              <w:top w:val="single" w:color="000000" w:sz="4" w:space="0"/>
              <w:left w:val="nil"/>
              <w:bottom w:val="single" w:color="000000" w:sz="4" w:space="0"/>
              <w:right w:val="single" w:color="000000" w:sz="4" w:space="0"/>
            </w:tcBorders>
            <w:vAlign w:val="center"/>
          </w:tcPr>
          <w:p>
            <w:pPr>
              <w:pStyle w:val="31"/>
              <w:spacing w:before="38"/>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38"/>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38"/>
              <w:ind w:left="73" w:right="62"/>
              <w:jc w:val="center"/>
              <w:rPr>
                <w:rFonts w:cs="Times New Roman"/>
                <w:sz w:val="21"/>
                <w:szCs w:val="21"/>
              </w:rPr>
            </w:pPr>
            <w:r>
              <w:rPr>
                <w:rFonts w:hint="eastAsia" w:cs="Times New Roman"/>
                <w:sz w:val="21"/>
                <w:szCs w:val="21"/>
              </w:rPr>
              <w:t>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38"/>
              <w:ind w:left="133" w:right="28"/>
              <w:jc w:val="center"/>
              <w:rPr>
                <w:rFonts w:cs="Times New Roman"/>
                <w:sz w:val="21"/>
                <w:szCs w:val="21"/>
              </w:rPr>
            </w:pPr>
            <w:r>
              <w:rPr>
                <w:rFonts w:hint="eastAsia" w:cs="Times New Roman"/>
                <w:sz w:val="21"/>
                <w:szCs w:val="21"/>
              </w:rPr>
              <w:t>88</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新型活页式、工作手册式教材数</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本</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40"/>
              <w:ind w:left="133" w:right="28"/>
              <w:jc w:val="center"/>
              <w:rPr>
                <w:rFonts w:cs="Times New Roman"/>
                <w:sz w:val="21"/>
                <w:szCs w:val="21"/>
              </w:rPr>
            </w:pPr>
            <w:r>
              <w:rPr>
                <w:rFonts w:hint="eastAsia" w:cs="Times New Roman"/>
                <w:sz w:val="21"/>
                <w:szCs w:val="21"/>
              </w:rPr>
              <w:t>89</w:t>
            </w:r>
          </w:p>
        </w:tc>
        <w:tc>
          <w:tcPr>
            <w:tcW w:w="3872" w:type="dxa"/>
            <w:tcBorders>
              <w:top w:val="single" w:color="000000" w:sz="4" w:space="0"/>
              <w:left w:val="nil"/>
              <w:bottom w:val="single" w:color="000000" w:sz="4" w:space="0"/>
              <w:right w:val="single" w:color="000000" w:sz="4" w:space="0"/>
            </w:tcBorders>
          </w:tcPr>
          <w:p>
            <w:pPr>
              <w:pStyle w:val="31"/>
              <w:spacing w:before="40"/>
              <w:ind w:left="16"/>
              <w:rPr>
                <w:rFonts w:cs="Times New Roman"/>
                <w:sz w:val="21"/>
                <w:szCs w:val="21"/>
              </w:rPr>
            </w:pPr>
            <w:r>
              <w:rPr>
                <w:rFonts w:hint="eastAsia" w:cs="Times New Roman"/>
                <w:sz w:val="21"/>
                <w:szCs w:val="21"/>
              </w:rPr>
              <w:t>累计评定为国家规划教材数</w:t>
            </w:r>
          </w:p>
        </w:tc>
        <w:tc>
          <w:tcPr>
            <w:tcW w:w="708" w:type="dxa"/>
            <w:tcBorders>
              <w:top w:val="single" w:color="000000" w:sz="4" w:space="0"/>
              <w:left w:val="nil"/>
              <w:bottom w:val="single" w:color="000000" w:sz="4" w:space="0"/>
              <w:right w:val="single" w:color="000000" w:sz="4" w:space="0"/>
            </w:tcBorders>
          </w:tcPr>
          <w:p>
            <w:pPr>
              <w:pStyle w:val="31"/>
              <w:spacing w:before="40"/>
              <w:ind w:left="12"/>
              <w:jc w:val="center"/>
              <w:rPr>
                <w:rFonts w:cs="Times New Roman"/>
                <w:sz w:val="21"/>
                <w:szCs w:val="21"/>
              </w:rPr>
            </w:pPr>
            <w:r>
              <w:rPr>
                <w:rFonts w:hint="eastAsia" w:cs="Times New Roman"/>
                <w:sz w:val="21"/>
                <w:szCs w:val="21"/>
              </w:rPr>
              <w:t>本</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4"/>
              <w:ind w:left="72" w:right="67"/>
              <w:jc w:val="center"/>
              <w:rPr>
                <w:rFonts w:cs="Times New Roman"/>
                <w:sz w:val="21"/>
                <w:szCs w:val="21"/>
              </w:rPr>
            </w:pPr>
            <w:r>
              <w:rPr>
                <w:rFonts w:hint="eastAsia" w:cs="Times New Roman"/>
                <w:sz w:val="21"/>
                <w:szCs w:val="21"/>
              </w:rPr>
              <w:t>3.1.1</w:t>
            </w:r>
          </w:p>
          <w:p>
            <w:pPr>
              <w:pStyle w:val="31"/>
              <w:spacing w:before="4" w:line="306" w:lineRule="exact"/>
              <w:ind w:left="72" w:right="67"/>
              <w:jc w:val="center"/>
              <w:rPr>
                <w:rFonts w:cs="Times New Roman"/>
                <w:sz w:val="21"/>
                <w:szCs w:val="21"/>
              </w:rPr>
            </w:pPr>
            <w:r>
              <w:rPr>
                <w:rFonts w:hint="eastAsia" w:cs="Times New Roman"/>
                <w:sz w:val="21"/>
                <w:szCs w:val="21"/>
              </w:rPr>
              <w:t>政策落实</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133" w:right="28"/>
              <w:jc w:val="center"/>
              <w:rPr>
                <w:rFonts w:cs="Times New Roman"/>
                <w:sz w:val="21"/>
                <w:szCs w:val="21"/>
              </w:rPr>
            </w:pPr>
            <w:r>
              <w:rPr>
                <w:rFonts w:hint="eastAsia" w:cs="Times New Roman"/>
                <w:sz w:val="21"/>
                <w:szCs w:val="21"/>
              </w:rPr>
              <w:t>90</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撰写报告时，描述学校及其举办者落实国家和省职业教育发展政策情况</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4" w:line="306" w:lineRule="exact"/>
              <w:ind w:left="72" w:right="67"/>
              <w:jc w:val="center"/>
              <w:rPr>
                <w:rFonts w:cs="Times New Roman"/>
                <w:sz w:val="21"/>
                <w:szCs w:val="21"/>
              </w:rPr>
            </w:pPr>
            <w:r>
              <w:rPr>
                <w:rFonts w:hint="eastAsia" w:cs="Times New Roman"/>
                <w:sz w:val="21"/>
                <w:szCs w:val="21"/>
              </w:rPr>
              <w:t>3.1.2</w:t>
            </w:r>
          </w:p>
          <w:p>
            <w:pPr>
              <w:pStyle w:val="31"/>
              <w:spacing w:before="14" w:line="306" w:lineRule="exact"/>
              <w:ind w:left="72" w:right="67"/>
              <w:jc w:val="center"/>
              <w:rPr>
                <w:rFonts w:cs="Times New Roman"/>
                <w:sz w:val="21"/>
                <w:szCs w:val="21"/>
              </w:rPr>
            </w:pPr>
            <w:r>
              <w:rPr>
                <w:rFonts w:hint="eastAsia" w:cs="Times New Roman"/>
                <w:sz w:val="21"/>
                <w:szCs w:val="21"/>
              </w:rPr>
              <w:t>改革举措</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133" w:right="28"/>
              <w:jc w:val="center"/>
              <w:rPr>
                <w:rFonts w:cs="Times New Roman"/>
                <w:sz w:val="21"/>
                <w:szCs w:val="21"/>
              </w:rPr>
            </w:pPr>
            <w:r>
              <w:rPr>
                <w:rFonts w:hint="eastAsia" w:cs="Times New Roman"/>
                <w:sz w:val="21"/>
                <w:szCs w:val="21"/>
              </w:rPr>
              <w:t>91</w:t>
            </w:r>
          </w:p>
        </w:tc>
        <w:tc>
          <w:tcPr>
            <w:tcW w:w="387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6"/>
              <w:jc w:val="center"/>
              <w:rPr>
                <w:rFonts w:cs="Times New Roman"/>
                <w:sz w:val="21"/>
                <w:szCs w:val="21"/>
              </w:rPr>
            </w:pPr>
            <w:r>
              <w:rPr>
                <w:rFonts w:hint="eastAsia" w:cs="Times New Roman"/>
                <w:sz w:val="21"/>
                <w:szCs w:val="21"/>
              </w:rPr>
              <w:t>撰写报告时，描述主要改革举措及成效</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4"/>
              <w:ind w:left="72" w:right="67"/>
              <w:jc w:val="center"/>
              <w:rPr>
                <w:rFonts w:cs="Times New Roman"/>
                <w:sz w:val="21"/>
                <w:szCs w:val="21"/>
              </w:rPr>
            </w:pPr>
            <w:r>
              <w:rPr>
                <w:rFonts w:hint="eastAsia" w:cs="Times New Roman"/>
                <w:sz w:val="21"/>
                <w:szCs w:val="21"/>
              </w:rPr>
              <w:t>3.1.3</w:t>
            </w:r>
          </w:p>
          <w:p>
            <w:pPr>
              <w:pStyle w:val="31"/>
              <w:spacing w:before="4" w:line="306" w:lineRule="exact"/>
              <w:ind w:left="72" w:right="67"/>
              <w:jc w:val="center"/>
              <w:rPr>
                <w:rFonts w:cs="Times New Roman"/>
                <w:sz w:val="21"/>
                <w:szCs w:val="21"/>
              </w:rPr>
            </w:pPr>
            <w:r>
              <w:rPr>
                <w:rFonts w:hint="eastAsia" w:cs="Times New Roman"/>
                <w:sz w:val="21"/>
                <w:szCs w:val="21"/>
              </w:rPr>
              <w:t>发展环境</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225"/>
              <w:jc w:val="center"/>
              <w:rPr>
                <w:rFonts w:cs="Times New Roman"/>
                <w:sz w:val="21"/>
                <w:szCs w:val="21"/>
              </w:rPr>
            </w:pPr>
            <w:r>
              <w:rPr>
                <w:rFonts w:hint="eastAsia" w:cs="Times New Roman"/>
                <w:sz w:val="21"/>
                <w:szCs w:val="21"/>
              </w:rPr>
              <w:t>92</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撰写报告时，描述地方政府出台优化职业教育发展环境的政策及举措</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5"/>
              <w:rPr>
                <w:sz w:val="21"/>
                <w:szCs w:val="21"/>
              </w:rPr>
            </w:pPr>
          </w:p>
          <w:p>
            <w:pPr>
              <w:pStyle w:val="31"/>
              <w:ind w:left="72" w:right="67"/>
              <w:jc w:val="center"/>
              <w:rPr>
                <w:rFonts w:cs="Times New Roman"/>
                <w:sz w:val="21"/>
                <w:szCs w:val="21"/>
              </w:rPr>
            </w:pPr>
            <w:r>
              <w:rPr>
                <w:rFonts w:hint="eastAsia" w:cs="Times New Roman"/>
                <w:sz w:val="21"/>
                <w:szCs w:val="21"/>
              </w:rPr>
              <w:t>3.2.1</w:t>
            </w:r>
          </w:p>
          <w:p>
            <w:pPr>
              <w:pStyle w:val="31"/>
              <w:spacing w:before="2"/>
              <w:ind w:left="74" w:right="67"/>
              <w:jc w:val="center"/>
              <w:rPr>
                <w:rFonts w:cs="Times New Roman"/>
                <w:sz w:val="21"/>
                <w:szCs w:val="21"/>
              </w:rPr>
            </w:pPr>
            <w:r>
              <w:rPr>
                <w:rFonts w:hint="eastAsia" w:cs="Times New Roman"/>
                <w:sz w:val="21"/>
                <w:szCs w:val="21"/>
              </w:rPr>
              <w:t>积极实施职教重点项目</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225"/>
              <w:jc w:val="center"/>
              <w:rPr>
                <w:rFonts w:cs="Times New Roman"/>
                <w:sz w:val="21"/>
                <w:szCs w:val="21"/>
              </w:rPr>
            </w:pPr>
            <w:r>
              <w:rPr>
                <w:rFonts w:hint="eastAsia" w:cs="Times New Roman"/>
                <w:sz w:val="21"/>
                <w:szCs w:val="21"/>
              </w:rPr>
              <w:t>93</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入围国家、省级职业院校专业教学团队数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0"/>
              <w:ind w:left="73" w:right="62"/>
              <w:jc w:val="center"/>
              <w:rPr>
                <w:rFonts w:cs="Times New Roman"/>
                <w:sz w:val="21"/>
                <w:szCs w:val="21"/>
              </w:rPr>
            </w:pPr>
            <w:r>
              <w:rPr>
                <w:rFonts w:hint="eastAsia" w:cs="Times New Roman"/>
                <w:sz w:val="21"/>
                <w:szCs w:val="21"/>
              </w:rPr>
              <w:t>见文件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left="225"/>
              <w:jc w:val="center"/>
              <w:rPr>
                <w:rFonts w:cs="Times New Roman"/>
                <w:sz w:val="21"/>
                <w:szCs w:val="21"/>
              </w:rPr>
            </w:pPr>
            <w:r>
              <w:rPr>
                <w:rFonts w:hint="eastAsia" w:cs="Times New Roman"/>
                <w:sz w:val="21"/>
                <w:szCs w:val="21"/>
              </w:rPr>
              <w:t>94</w:t>
            </w:r>
          </w:p>
        </w:tc>
        <w:tc>
          <w:tcPr>
            <w:tcW w:w="3872" w:type="dxa"/>
            <w:tcBorders>
              <w:top w:val="single" w:color="000000" w:sz="4" w:space="0"/>
              <w:left w:val="nil"/>
              <w:bottom w:val="single" w:color="000000" w:sz="4" w:space="0"/>
              <w:right w:val="single" w:color="000000" w:sz="4" w:space="0"/>
            </w:tcBorders>
            <w:vAlign w:val="center"/>
          </w:tcPr>
          <w:p>
            <w:pPr>
              <w:pStyle w:val="31"/>
              <w:spacing w:before="11" w:line="310" w:lineRule="atLeast"/>
              <w:ind w:left="16"/>
              <w:jc w:val="center"/>
              <w:rPr>
                <w:rFonts w:cs="Times New Roman"/>
                <w:sz w:val="21"/>
                <w:szCs w:val="21"/>
              </w:rPr>
            </w:pPr>
            <w:r>
              <w:rPr>
                <w:rFonts w:hint="eastAsia" w:cs="Times New Roman"/>
                <w:sz w:val="21"/>
                <w:szCs w:val="21"/>
              </w:rPr>
              <w:t>累计立项国家、省级专业教学资源库数</w:t>
            </w:r>
          </w:p>
        </w:tc>
        <w:tc>
          <w:tcPr>
            <w:tcW w:w="708" w:type="dxa"/>
            <w:tcBorders>
              <w:top w:val="single" w:color="000000" w:sz="4" w:space="0"/>
              <w:left w:val="nil"/>
              <w:bottom w:val="single" w:color="FFFFFF" w:sz="12"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0"/>
              <w:ind w:left="73" w:right="62"/>
              <w:jc w:val="center"/>
              <w:rPr>
                <w:rFonts w:cs="Times New Roman"/>
                <w:sz w:val="21"/>
                <w:szCs w:val="21"/>
              </w:rPr>
            </w:pPr>
            <w:r>
              <w:rPr>
                <w:rFonts w:hint="eastAsia" w:cs="Times New Roman"/>
                <w:sz w:val="21"/>
                <w:szCs w:val="21"/>
              </w:rPr>
              <w:t>见文件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0"/>
              <w:ind w:left="225"/>
              <w:jc w:val="center"/>
              <w:rPr>
                <w:rFonts w:cs="Times New Roman"/>
                <w:sz w:val="21"/>
                <w:szCs w:val="21"/>
              </w:rPr>
            </w:pPr>
            <w:r>
              <w:rPr>
                <w:rFonts w:hint="eastAsia" w:cs="Times New Roman"/>
                <w:sz w:val="21"/>
                <w:szCs w:val="21"/>
              </w:rPr>
              <w:t>95</w:t>
            </w:r>
          </w:p>
        </w:tc>
        <w:tc>
          <w:tcPr>
            <w:tcW w:w="3872" w:type="dxa"/>
            <w:tcBorders>
              <w:top w:val="single" w:color="000000" w:sz="4" w:space="0"/>
              <w:left w:val="nil"/>
              <w:bottom w:val="single" w:color="000000" w:sz="4" w:space="0"/>
              <w:right w:val="single" w:color="000000" w:sz="4" w:space="0"/>
            </w:tcBorders>
          </w:tcPr>
          <w:p>
            <w:pPr>
              <w:pStyle w:val="31"/>
              <w:spacing w:before="4"/>
              <w:ind w:left="16"/>
              <w:rPr>
                <w:rFonts w:cs="Times New Roman"/>
                <w:sz w:val="21"/>
                <w:szCs w:val="21"/>
              </w:rPr>
            </w:pPr>
            <w:r>
              <w:rPr>
                <w:rFonts w:hint="eastAsia" w:cs="Times New Roman"/>
                <w:sz w:val="21"/>
                <w:szCs w:val="21"/>
              </w:rPr>
              <w:t>省级职业教育“双师型”名师工作室</w:t>
            </w:r>
          </w:p>
          <w:p>
            <w:pPr>
              <w:pStyle w:val="31"/>
              <w:spacing w:before="4" w:line="306" w:lineRule="exact"/>
              <w:ind w:left="16"/>
              <w:rPr>
                <w:rFonts w:cs="Times New Roman"/>
                <w:sz w:val="21"/>
                <w:szCs w:val="21"/>
              </w:rPr>
            </w:pPr>
            <w:r>
              <w:rPr>
                <w:rFonts w:hint="eastAsia" w:cs="Times New Roman"/>
                <w:sz w:val="21"/>
                <w:szCs w:val="21"/>
              </w:rPr>
              <w:t>教师技艺技能传承创新平台</w:t>
            </w:r>
          </w:p>
        </w:tc>
        <w:tc>
          <w:tcPr>
            <w:tcW w:w="708" w:type="dxa"/>
            <w:tcBorders>
              <w:top w:val="single" w:color="FFFFFF" w:sz="12" w:space="0"/>
              <w:left w:val="nil"/>
              <w:bottom w:val="single" w:color="000000" w:sz="4" w:space="0"/>
              <w:right w:val="single" w:color="000000" w:sz="4" w:space="0"/>
            </w:tcBorders>
          </w:tcPr>
          <w:p>
            <w:pPr>
              <w:pStyle w:val="31"/>
              <w:spacing w:line="170" w:lineRule="exact"/>
              <w:ind w:left="7" w:right="-72"/>
              <w:rPr>
                <w:rFonts w:cs="Times New Roman"/>
                <w:sz w:val="21"/>
                <w:szCs w:val="21"/>
              </w:rPr>
            </w:pPr>
            <w:r>
              <w:rPr>
                <w:position w:val="-2"/>
                <w:sz w:val="21"/>
                <w:szCs w:val="21"/>
              </w:rPr>
              <w:drawing>
                <wp:inline distT="0" distB="0" distL="0" distR="0">
                  <wp:extent cx="665480" cy="17335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5480" cy="173355"/>
                          </a:xfrm>
                          <a:prstGeom prst="rect">
                            <a:avLst/>
                          </a:prstGeom>
                          <a:noFill/>
                          <a:ln>
                            <a:noFill/>
                          </a:ln>
                        </pic:spPr>
                      </pic:pic>
                    </a:graphicData>
                  </a:graphic>
                </wp:inline>
              </w:drawing>
            </w:r>
          </w:p>
          <w:p>
            <w:pPr>
              <w:pStyle w:val="31"/>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16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6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60"/>
              <w:ind w:left="73" w:right="62"/>
              <w:jc w:val="center"/>
              <w:rPr>
                <w:rFonts w:cs="Times New Roman"/>
                <w:sz w:val="21"/>
                <w:szCs w:val="21"/>
              </w:rPr>
            </w:pPr>
            <w:r>
              <w:rPr>
                <w:rFonts w:hint="eastAsia" w:cs="Times New Roman"/>
                <w:sz w:val="21"/>
                <w:szCs w:val="21"/>
              </w:rPr>
              <w:t>见文件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8"/>
              <w:rPr>
                <w:sz w:val="21"/>
                <w:szCs w:val="21"/>
              </w:rPr>
            </w:pPr>
          </w:p>
          <w:p>
            <w:pPr>
              <w:pStyle w:val="31"/>
              <w:ind w:left="72" w:right="67"/>
              <w:jc w:val="center"/>
              <w:rPr>
                <w:rFonts w:cs="Times New Roman"/>
                <w:sz w:val="21"/>
                <w:szCs w:val="21"/>
              </w:rPr>
            </w:pPr>
            <w:r>
              <w:rPr>
                <w:rFonts w:hint="eastAsia" w:cs="Times New Roman"/>
                <w:sz w:val="21"/>
                <w:szCs w:val="21"/>
              </w:rPr>
              <w:t>3.2.2</w:t>
            </w:r>
          </w:p>
          <w:p>
            <w:pPr>
              <w:pStyle w:val="31"/>
              <w:spacing w:before="2"/>
              <w:ind w:left="74" w:right="67"/>
              <w:jc w:val="center"/>
              <w:rPr>
                <w:rFonts w:cs="Times New Roman"/>
                <w:sz w:val="21"/>
                <w:szCs w:val="21"/>
              </w:rPr>
            </w:pPr>
            <w:r>
              <w:rPr>
                <w:rFonts w:hint="eastAsia" w:cs="Times New Roman"/>
                <w:sz w:val="21"/>
                <w:szCs w:val="21"/>
              </w:rPr>
              <w:t>推进高职学校高质量发展</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225"/>
              <w:jc w:val="center"/>
              <w:rPr>
                <w:rFonts w:cs="Times New Roman"/>
                <w:sz w:val="21"/>
                <w:szCs w:val="21"/>
              </w:rPr>
            </w:pPr>
            <w:r>
              <w:rPr>
                <w:rFonts w:hint="eastAsia" w:cs="Times New Roman"/>
                <w:sz w:val="21"/>
                <w:szCs w:val="21"/>
              </w:rPr>
              <w:t>96</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当年完成校级以上项目建设数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3</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restart"/>
            <w:tcBorders>
              <w:top w:val="nil"/>
              <w:left w:val="nil"/>
              <w:bottom w:val="single" w:color="000000" w:sz="4" w:space="0"/>
              <w:right w:val="single" w:color="000000" w:sz="4" w:space="0"/>
            </w:tcBorders>
            <w:vAlign w:val="center"/>
          </w:tcPr>
          <w:p>
            <w:pPr>
              <w:pStyle w:val="31"/>
              <w:jc w:val="center"/>
              <w:rPr>
                <w:sz w:val="21"/>
                <w:szCs w:val="21"/>
              </w:rPr>
            </w:pPr>
          </w:p>
          <w:p>
            <w:pPr>
              <w:pStyle w:val="31"/>
              <w:jc w:val="center"/>
              <w:rPr>
                <w:sz w:val="21"/>
                <w:szCs w:val="21"/>
              </w:rPr>
            </w:pPr>
          </w:p>
          <w:p>
            <w:pPr>
              <w:pStyle w:val="31"/>
              <w:spacing w:before="168"/>
              <w:ind w:left="225"/>
              <w:jc w:val="center"/>
              <w:rPr>
                <w:rFonts w:cs="Times New Roman"/>
                <w:sz w:val="21"/>
                <w:szCs w:val="21"/>
              </w:rPr>
            </w:pPr>
            <w:r>
              <w:rPr>
                <w:rFonts w:hint="eastAsia" w:cs="Times New Roman"/>
                <w:sz w:val="21"/>
                <w:szCs w:val="21"/>
              </w:rPr>
              <w:t>97</w:t>
            </w:r>
          </w:p>
        </w:tc>
        <w:tc>
          <w:tcPr>
            <w:tcW w:w="3872" w:type="dxa"/>
            <w:tcBorders>
              <w:top w:val="single" w:color="000000" w:sz="4" w:space="0"/>
              <w:left w:val="nil"/>
              <w:bottom w:val="single" w:color="000000" w:sz="4" w:space="0"/>
              <w:right w:val="single" w:color="000000" w:sz="4" w:space="0"/>
            </w:tcBorders>
          </w:tcPr>
          <w:p>
            <w:pPr>
              <w:pStyle w:val="31"/>
              <w:spacing w:before="17" w:line="306" w:lineRule="exact"/>
              <w:ind w:left="16"/>
              <w:rPr>
                <w:rFonts w:cs="Times New Roman"/>
                <w:sz w:val="21"/>
                <w:szCs w:val="21"/>
              </w:rPr>
            </w:pPr>
            <w:r>
              <w:rPr>
                <w:rFonts w:hint="eastAsia" w:cs="Times New Roman"/>
                <w:sz w:val="21"/>
                <w:szCs w:val="21"/>
              </w:rPr>
              <w:t>项目建设总投入</w:t>
            </w:r>
          </w:p>
        </w:tc>
        <w:tc>
          <w:tcPr>
            <w:tcW w:w="708" w:type="dxa"/>
            <w:tcBorders>
              <w:top w:val="single" w:color="000000" w:sz="4" w:space="0"/>
              <w:left w:val="nil"/>
              <w:bottom w:val="single" w:color="000000" w:sz="4" w:space="0"/>
              <w:right w:val="single" w:color="000000" w:sz="4" w:space="0"/>
            </w:tcBorders>
          </w:tcPr>
          <w:p>
            <w:pPr>
              <w:pStyle w:val="31"/>
              <w:spacing w:before="17" w:line="306" w:lineRule="exact"/>
              <w:ind w:left="95" w:right="83"/>
              <w:jc w:val="center"/>
              <w:rPr>
                <w:rFonts w:cs="Times New Roman"/>
                <w:sz w:val="21"/>
                <w:szCs w:val="21"/>
              </w:rPr>
            </w:pPr>
            <w:r>
              <w:rPr>
                <w:rFonts w:hint="eastAsia" w:cs="Times New Roman"/>
                <w:sz w:val="21"/>
                <w:szCs w:val="21"/>
              </w:rPr>
              <w:t>万元</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83</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r>
              <w:rPr>
                <w:sz w:val="21"/>
                <w:szCs w:val="21"/>
              </w:rPr>
              <w:t>30.77</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256"/>
              <w:rPr>
                <w:rFonts w:cs="Times New Roman"/>
                <w:sz w:val="21"/>
                <w:szCs w:val="21"/>
              </w:rPr>
            </w:pPr>
            <w:r>
              <w:rPr>
                <w:rFonts w:hint="eastAsia" w:cs="Times New Roman"/>
                <w:sz w:val="21"/>
                <w:szCs w:val="21"/>
              </w:rPr>
              <w:t>其中：省财政投入</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95" w:right="83"/>
              <w:jc w:val="center"/>
              <w:rPr>
                <w:rFonts w:cs="Times New Roman"/>
                <w:sz w:val="21"/>
                <w:szCs w:val="21"/>
              </w:rPr>
            </w:pPr>
            <w:r>
              <w:rPr>
                <w:rFonts w:hint="eastAsia" w:cs="Times New Roman"/>
                <w:sz w:val="21"/>
                <w:szCs w:val="21"/>
              </w:rPr>
              <w:t>万元</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83</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r>
              <w:rPr>
                <w:sz w:val="21"/>
                <w:szCs w:val="21"/>
              </w:rPr>
              <w:t>30.77</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6" w:line="304" w:lineRule="exact"/>
              <w:ind w:left="977"/>
              <w:rPr>
                <w:rFonts w:cs="Times New Roman"/>
                <w:sz w:val="21"/>
                <w:szCs w:val="21"/>
              </w:rPr>
            </w:pPr>
            <w:r>
              <w:rPr>
                <w:rFonts w:hint="eastAsia" w:cs="Times New Roman"/>
                <w:sz w:val="21"/>
                <w:szCs w:val="21"/>
              </w:rPr>
              <w:t>举办者投入</w:t>
            </w:r>
          </w:p>
        </w:tc>
        <w:tc>
          <w:tcPr>
            <w:tcW w:w="708" w:type="dxa"/>
            <w:tcBorders>
              <w:top w:val="single" w:color="000000" w:sz="4" w:space="0"/>
              <w:left w:val="nil"/>
              <w:bottom w:val="single" w:color="000000" w:sz="4" w:space="0"/>
              <w:right w:val="single" w:color="000000" w:sz="4" w:space="0"/>
            </w:tcBorders>
          </w:tcPr>
          <w:p>
            <w:pPr>
              <w:pStyle w:val="31"/>
              <w:spacing w:before="16" w:line="304" w:lineRule="exact"/>
              <w:ind w:left="95" w:right="83"/>
              <w:jc w:val="center"/>
              <w:rPr>
                <w:rFonts w:cs="Times New Roman"/>
                <w:sz w:val="21"/>
                <w:szCs w:val="21"/>
              </w:rPr>
            </w:pPr>
            <w:r>
              <w:rPr>
                <w:rFonts w:hint="eastAsia" w:cs="Times New Roman"/>
                <w:sz w:val="21"/>
                <w:szCs w:val="21"/>
              </w:rPr>
              <w:t>万元</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977"/>
              <w:rPr>
                <w:rFonts w:cs="Times New Roman"/>
                <w:sz w:val="21"/>
                <w:szCs w:val="21"/>
              </w:rPr>
            </w:pPr>
            <w:r>
              <w:rPr>
                <w:rFonts w:hint="eastAsia" w:cs="Times New Roman"/>
                <w:sz w:val="21"/>
                <w:szCs w:val="21"/>
              </w:rPr>
              <w:t>行业、企业投入</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95" w:right="83"/>
              <w:jc w:val="center"/>
              <w:rPr>
                <w:rFonts w:cs="Times New Roman"/>
                <w:sz w:val="21"/>
                <w:szCs w:val="21"/>
              </w:rPr>
            </w:pPr>
            <w:r>
              <w:rPr>
                <w:rFonts w:hint="eastAsia" w:cs="Times New Roman"/>
                <w:sz w:val="21"/>
                <w:szCs w:val="21"/>
              </w:rPr>
              <w:t>万元</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977"/>
              <w:rPr>
                <w:rFonts w:cs="Times New Roman"/>
                <w:sz w:val="21"/>
                <w:szCs w:val="21"/>
              </w:rPr>
            </w:pPr>
            <w:r>
              <w:rPr>
                <w:rFonts w:hint="eastAsia" w:cs="Times New Roman"/>
                <w:sz w:val="21"/>
                <w:szCs w:val="21"/>
              </w:rPr>
              <w:t>自筹</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95" w:right="83"/>
              <w:jc w:val="center"/>
              <w:rPr>
                <w:rFonts w:cs="Times New Roman"/>
                <w:sz w:val="21"/>
                <w:szCs w:val="21"/>
              </w:rPr>
            </w:pPr>
            <w:r>
              <w:rPr>
                <w:rFonts w:hint="eastAsia" w:cs="Times New Roman"/>
                <w:sz w:val="21"/>
                <w:szCs w:val="21"/>
              </w:rPr>
              <w:t>万元</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3.2.3</w:t>
            </w:r>
          </w:p>
          <w:p>
            <w:pPr>
              <w:pStyle w:val="31"/>
              <w:spacing w:before="2"/>
              <w:ind w:left="10" w:right="5"/>
              <w:jc w:val="center"/>
              <w:rPr>
                <w:rFonts w:cs="Times New Roman"/>
                <w:sz w:val="21"/>
                <w:szCs w:val="21"/>
              </w:rPr>
            </w:pPr>
            <w:r>
              <w:rPr>
                <w:rFonts w:hint="eastAsia" w:cs="Times New Roman"/>
                <w:sz w:val="21"/>
                <w:szCs w:val="21"/>
              </w:rPr>
              <w:t>着力建设高水</w:t>
            </w:r>
          </w:p>
          <w:p>
            <w:pPr>
              <w:pStyle w:val="31"/>
              <w:spacing w:before="5" w:line="306" w:lineRule="exact"/>
              <w:ind w:left="72" w:right="67"/>
              <w:jc w:val="center"/>
              <w:rPr>
                <w:rFonts w:cs="Times New Roman"/>
                <w:sz w:val="21"/>
                <w:szCs w:val="21"/>
              </w:rPr>
            </w:pPr>
            <w:r>
              <w:rPr>
                <w:rFonts w:hint="eastAsia" w:cs="Times New Roman"/>
                <w:sz w:val="21"/>
                <w:szCs w:val="21"/>
              </w:rPr>
              <w:t>平专业群</w:t>
            </w:r>
          </w:p>
        </w:tc>
        <w:tc>
          <w:tcPr>
            <w:tcW w:w="595" w:type="dxa"/>
            <w:tcBorders>
              <w:top w:val="single" w:color="000000" w:sz="4" w:space="0"/>
              <w:left w:val="nil"/>
              <w:bottom w:val="single" w:color="000000" w:sz="4" w:space="0"/>
              <w:right w:val="single" w:color="000000" w:sz="4" w:space="0"/>
            </w:tcBorders>
            <w:vAlign w:val="center"/>
          </w:tcPr>
          <w:p>
            <w:pPr>
              <w:pStyle w:val="31"/>
              <w:spacing w:before="4"/>
              <w:jc w:val="center"/>
              <w:rPr>
                <w:sz w:val="21"/>
                <w:szCs w:val="21"/>
              </w:rPr>
            </w:pPr>
          </w:p>
          <w:p>
            <w:pPr>
              <w:pStyle w:val="31"/>
              <w:ind w:left="225"/>
              <w:jc w:val="center"/>
              <w:rPr>
                <w:rFonts w:cs="Times New Roman"/>
                <w:sz w:val="21"/>
                <w:szCs w:val="21"/>
              </w:rPr>
            </w:pPr>
            <w:r>
              <w:rPr>
                <w:rFonts w:hint="eastAsia" w:cs="Times New Roman"/>
                <w:sz w:val="21"/>
                <w:szCs w:val="21"/>
              </w:rPr>
              <w:t>98</w:t>
            </w:r>
          </w:p>
        </w:tc>
        <w:tc>
          <w:tcPr>
            <w:tcW w:w="3872" w:type="dxa"/>
            <w:tcBorders>
              <w:top w:val="single" w:color="000000" w:sz="4" w:space="0"/>
              <w:left w:val="nil"/>
              <w:bottom w:val="single" w:color="000000" w:sz="4" w:space="0"/>
              <w:right w:val="single" w:color="000000" w:sz="4" w:space="0"/>
            </w:tcBorders>
          </w:tcPr>
          <w:p>
            <w:pPr>
              <w:pStyle w:val="31"/>
              <w:spacing w:before="170"/>
              <w:ind w:left="16" w:right="1"/>
              <w:rPr>
                <w:rFonts w:cs="Times New Roman"/>
                <w:sz w:val="21"/>
                <w:szCs w:val="21"/>
              </w:rPr>
            </w:pPr>
            <w:r>
              <w:rPr>
                <w:rFonts w:hint="eastAsia" w:cs="Times New Roman"/>
                <w:sz w:val="21"/>
                <w:szCs w:val="21"/>
              </w:rPr>
              <w:t>撰写报告时，描述高水平专业群建设措施及成效</w:t>
            </w:r>
          </w:p>
        </w:tc>
        <w:tc>
          <w:tcPr>
            <w:tcW w:w="708" w:type="dxa"/>
            <w:tcBorders>
              <w:top w:val="single" w:color="000000" w:sz="4" w:space="0"/>
              <w:left w:val="nil"/>
              <w:bottom w:val="single" w:color="000000" w:sz="4" w:space="0"/>
              <w:right w:val="single" w:color="000000" w:sz="4" w:space="0"/>
            </w:tcBorders>
          </w:tcPr>
          <w:p>
            <w:pPr>
              <w:pStyle w:val="31"/>
              <w:spacing w:before="4"/>
              <w:rPr>
                <w:sz w:val="21"/>
                <w:szCs w:val="21"/>
              </w:rPr>
            </w:pPr>
          </w:p>
          <w:p>
            <w:pPr>
              <w:pStyle w:val="31"/>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4"/>
              <w:jc w:val="center"/>
              <w:rPr>
                <w:sz w:val="21"/>
                <w:szCs w:val="21"/>
              </w:rPr>
            </w:pPr>
          </w:p>
          <w:p>
            <w:pPr>
              <w:pStyle w:val="31"/>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4"/>
              <w:jc w:val="center"/>
              <w:rPr>
                <w:sz w:val="21"/>
                <w:szCs w:val="21"/>
              </w:rPr>
            </w:pPr>
          </w:p>
          <w:p>
            <w:pPr>
              <w:pStyle w:val="31"/>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55"/>
              <w:ind w:left="72" w:right="67"/>
              <w:jc w:val="center"/>
              <w:rPr>
                <w:rFonts w:cs="Times New Roman"/>
                <w:sz w:val="21"/>
                <w:szCs w:val="21"/>
              </w:rPr>
            </w:pPr>
            <w:r>
              <w:rPr>
                <w:rFonts w:hint="eastAsia" w:cs="Times New Roman"/>
                <w:sz w:val="21"/>
                <w:szCs w:val="21"/>
              </w:rPr>
              <w:t>3.3.1</w:t>
            </w:r>
          </w:p>
          <w:p>
            <w:pPr>
              <w:pStyle w:val="31"/>
              <w:spacing w:before="4"/>
              <w:ind w:left="74" w:right="67"/>
              <w:jc w:val="center"/>
              <w:rPr>
                <w:rFonts w:cs="Times New Roman"/>
                <w:sz w:val="21"/>
                <w:szCs w:val="21"/>
              </w:rPr>
            </w:pPr>
            <w:r>
              <w:rPr>
                <w:rFonts w:hint="eastAsia" w:cs="Times New Roman"/>
                <w:sz w:val="21"/>
                <w:szCs w:val="21"/>
              </w:rPr>
              <w:t>全面推进教学工作诊改</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left="225"/>
              <w:jc w:val="center"/>
              <w:rPr>
                <w:rFonts w:cs="Times New Roman"/>
                <w:sz w:val="21"/>
                <w:szCs w:val="21"/>
              </w:rPr>
            </w:pPr>
            <w:r>
              <w:rPr>
                <w:rFonts w:hint="eastAsia" w:cs="Times New Roman"/>
                <w:sz w:val="21"/>
                <w:szCs w:val="21"/>
              </w:rPr>
              <w:t>99</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累计制定教学工作诊改制度数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100</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建设教学工作诊改专门平台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101</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累计制定教学工作诊改标准数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55"/>
              <w:ind w:left="72" w:right="67"/>
              <w:jc w:val="center"/>
              <w:rPr>
                <w:rFonts w:cs="Times New Roman"/>
                <w:sz w:val="21"/>
                <w:szCs w:val="21"/>
              </w:rPr>
            </w:pPr>
            <w:r>
              <w:rPr>
                <w:rFonts w:hint="eastAsia" w:cs="Times New Roman"/>
                <w:sz w:val="21"/>
                <w:szCs w:val="21"/>
              </w:rPr>
              <w:t>3.3.2</w:t>
            </w:r>
          </w:p>
          <w:p>
            <w:pPr>
              <w:pStyle w:val="31"/>
              <w:spacing w:before="5"/>
              <w:ind w:left="74" w:right="67"/>
              <w:jc w:val="center"/>
              <w:rPr>
                <w:rFonts w:cs="Times New Roman"/>
                <w:sz w:val="21"/>
                <w:szCs w:val="21"/>
              </w:rPr>
            </w:pPr>
            <w:r>
              <w:rPr>
                <w:rFonts w:hint="eastAsia" w:cs="Times New Roman"/>
                <w:sz w:val="21"/>
                <w:szCs w:val="21"/>
              </w:rPr>
              <w:t>不断完善两项抽查制度</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102</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累计制定学校专业技能考核标准数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8</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9</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103</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当年学生专业技能考核合格率</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104</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累计制定学校学生毕业设计考核标准数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8</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r>
              <w:rPr>
                <w:sz w:val="21"/>
                <w:szCs w:val="21"/>
              </w:rPr>
              <w:t>9</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4"/>
              <w:ind w:left="72" w:right="67"/>
              <w:jc w:val="center"/>
              <w:rPr>
                <w:rFonts w:cs="Times New Roman"/>
                <w:sz w:val="21"/>
                <w:szCs w:val="21"/>
              </w:rPr>
            </w:pPr>
            <w:r>
              <w:rPr>
                <w:rFonts w:hint="eastAsia" w:cs="Times New Roman"/>
                <w:sz w:val="21"/>
                <w:szCs w:val="21"/>
              </w:rPr>
              <w:t>3.3.3</w:t>
            </w:r>
          </w:p>
          <w:p>
            <w:pPr>
              <w:pStyle w:val="31"/>
              <w:spacing w:before="2" w:line="310" w:lineRule="atLeast"/>
              <w:ind w:left="74" w:right="67"/>
              <w:jc w:val="center"/>
              <w:rPr>
                <w:rFonts w:cs="Times New Roman"/>
                <w:sz w:val="21"/>
                <w:szCs w:val="21"/>
              </w:rPr>
            </w:pPr>
            <w:r>
              <w:rPr>
                <w:rFonts w:hint="eastAsia" w:cs="Times New Roman"/>
                <w:sz w:val="21"/>
                <w:szCs w:val="21"/>
              </w:rPr>
              <w:t>建立建全教学管理制度</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105</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累计教学与学生管理制度数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4" w:line="306" w:lineRule="exact"/>
              <w:ind w:left="73" w:right="62"/>
              <w:jc w:val="center"/>
              <w:rPr>
                <w:rFonts w:cs="Times New Roman"/>
                <w:sz w:val="21"/>
                <w:szCs w:val="21"/>
              </w:rPr>
            </w:pPr>
            <w:r>
              <w:rPr>
                <w:rFonts w:hint="eastAsia" w:cs="Times New Roman"/>
                <w:sz w:val="21"/>
                <w:szCs w:val="21"/>
              </w:rPr>
              <w:t>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51"/>
              <w:ind w:right="-15"/>
              <w:jc w:val="center"/>
              <w:rPr>
                <w:rFonts w:cs="Times New Roman"/>
                <w:sz w:val="21"/>
                <w:szCs w:val="21"/>
              </w:rPr>
            </w:pPr>
            <w:r>
              <w:rPr>
                <w:rFonts w:hint="eastAsia" w:cs="Times New Roman"/>
                <w:sz w:val="21"/>
                <w:szCs w:val="21"/>
              </w:rPr>
              <w:t>106</w:t>
            </w:r>
          </w:p>
        </w:tc>
        <w:tc>
          <w:tcPr>
            <w:tcW w:w="3872" w:type="dxa"/>
            <w:tcBorders>
              <w:top w:val="single" w:color="000000" w:sz="4" w:space="0"/>
              <w:left w:val="nil"/>
              <w:bottom w:val="single" w:color="000000" w:sz="4" w:space="0"/>
              <w:right w:val="single" w:color="000000" w:sz="4" w:space="0"/>
            </w:tcBorders>
          </w:tcPr>
          <w:p>
            <w:pPr>
              <w:pStyle w:val="31"/>
              <w:spacing w:before="151"/>
              <w:ind w:left="50"/>
              <w:rPr>
                <w:rFonts w:cs="Times New Roman"/>
                <w:sz w:val="21"/>
                <w:szCs w:val="21"/>
              </w:rPr>
            </w:pPr>
            <w:r>
              <w:rPr>
                <w:rFonts w:hint="eastAsia" w:cs="Times New Roman"/>
                <w:sz w:val="21"/>
                <w:szCs w:val="21"/>
              </w:rPr>
              <w:t>重大教学管理制度创新数</w:t>
            </w:r>
          </w:p>
        </w:tc>
        <w:tc>
          <w:tcPr>
            <w:tcW w:w="708" w:type="dxa"/>
            <w:tcBorders>
              <w:top w:val="single" w:color="000000" w:sz="4" w:space="0"/>
              <w:left w:val="nil"/>
              <w:bottom w:val="single" w:color="000000" w:sz="4" w:space="0"/>
              <w:right w:val="single" w:color="000000" w:sz="4" w:space="0"/>
            </w:tcBorders>
          </w:tcPr>
          <w:p>
            <w:pPr>
              <w:pStyle w:val="31"/>
              <w:spacing w:before="151"/>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151"/>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51"/>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51"/>
              <w:ind w:left="73" w:right="62"/>
              <w:jc w:val="center"/>
              <w:rPr>
                <w:rFonts w:cs="Times New Roman"/>
                <w:sz w:val="21"/>
                <w:szCs w:val="21"/>
              </w:rPr>
            </w:pPr>
            <w:r>
              <w:rPr>
                <w:rFonts w:hint="eastAsia" w:cs="Times New Roman"/>
                <w:sz w:val="21"/>
                <w:szCs w:val="21"/>
              </w:rPr>
              <w:t>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3"/>
              <w:ind w:left="72" w:right="67"/>
              <w:jc w:val="center"/>
              <w:rPr>
                <w:rFonts w:cs="Times New Roman"/>
                <w:sz w:val="21"/>
                <w:szCs w:val="21"/>
              </w:rPr>
            </w:pPr>
            <w:r>
              <w:rPr>
                <w:rFonts w:hint="eastAsia" w:cs="Times New Roman"/>
                <w:sz w:val="21"/>
                <w:szCs w:val="21"/>
              </w:rPr>
              <w:t>3.4.1</w:t>
            </w:r>
          </w:p>
          <w:p>
            <w:pPr>
              <w:pStyle w:val="31"/>
              <w:spacing w:before="5"/>
              <w:ind w:left="10" w:right="5"/>
              <w:jc w:val="center"/>
              <w:rPr>
                <w:rFonts w:cs="Times New Roman"/>
                <w:sz w:val="21"/>
                <w:szCs w:val="21"/>
              </w:rPr>
            </w:pPr>
            <w:r>
              <w:rPr>
                <w:rFonts w:hint="eastAsia" w:cs="Times New Roman"/>
                <w:sz w:val="21"/>
                <w:szCs w:val="21"/>
              </w:rPr>
              <w:t>生均财政拨款</w:t>
            </w:r>
          </w:p>
        </w:tc>
        <w:tc>
          <w:tcPr>
            <w:tcW w:w="595" w:type="dxa"/>
            <w:vMerge w:val="restart"/>
            <w:tcBorders>
              <w:top w:val="nil"/>
              <w:left w:val="nil"/>
              <w:bottom w:val="single" w:color="000000" w:sz="4" w:space="0"/>
              <w:right w:val="single" w:color="000000" w:sz="4" w:space="0"/>
            </w:tcBorders>
            <w:vAlign w:val="center"/>
          </w:tcPr>
          <w:p>
            <w:pPr>
              <w:pStyle w:val="31"/>
              <w:spacing w:before="189"/>
              <w:ind w:left="225" w:right="-15"/>
              <w:jc w:val="center"/>
              <w:rPr>
                <w:rFonts w:cs="Times New Roman"/>
                <w:sz w:val="21"/>
                <w:szCs w:val="21"/>
              </w:rPr>
            </w:pPr>
            <w:r>
              <w:rPr>
                <w:rFonts w:hint="eastAsia" w:cs="Times New Roman"/>
                <w:sz w:val="21"/>
                <w:szCs w:val="21"/>
              </w:rPr>
              <w:t>107</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年生均财政拨款水平</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元</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4" w:line="306" w:lineRule="exact"/>
              <w:ind w:left="74" w:right="61"/>
              <w:jc w:val="center"/>
              <w:rPr>
                <w:rFonts w:cs="Times New Roman"/>
                <w:sz w:val="21"/>
                <w:szCs w:val="21"/>
              </w:rPr>
            </w:pPr>
            <w:r>
              <w:rPr>
                <w:rFonts w:hint="eastAsia" w:cs="Times New Roman"/>
                <w:sz w:val="21"/>
                <w:szCs w:val="21"/>
              </w:rPr>
              <w:t>见表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6" w:line="304" w:lineRule="exact"/>
              <w:ind w:left="16"/>
              <w:rPr>
                <w:rFonts w:cs="Times New Roman"/>
                <w:sz w:val="21"/>
                <w:szCs w:val="21"/>
              </w:rPr>
            </w:pPr>
            <w:r>
              <w:rPr>
                <w:rFonts w:hint="eastAsia" w:cs="Times New Roman"/>
                <w:sz w:val="21"/>
                <w:szCs w:val="21"/>
              </w:rPr>
              <w:t>其中：年生均财政专项经费</w:t>
            </w:r>
          </w:p>
        </w:tc>
        <w:tc>
          <w:tcPr>
            <w:tcW w:w="708" w:type="dxa"/>
            <w:tcBorders>
              <w:top w:val="single" w:color="000000" w:sz="4" w:space="0"/>
              <w:left w:val="nil"/>
              <w:bottom w:val="single" w:color="000000" w:sz="4" w:space="0"/>
              <w:right w:val="single" w:color="000000" w:sz="4" w:space="0"/>
            </w:tcBorders>
          </w:tcPr>
          <w:p>
            <w:pPr>
              <w:pStyle w:val="31"/>
              <w:spacing w:before="16" w:line="304" w:lineRule="exact"/>
              <w:ind w:left="12"/>
              <w:jc w:val="center"/>
              <w:rPr>
                <w:rFonts w:cs="Times New Roman"/>
                <w:sz w:val="21"/>
                <w:szCs w:val="21"/>
              </w:rPr>
            </w:pPr>
            <w:r>
              <w:rPr>
                <w:rFonts w:hint="eastAsia" w:cs="Times New Roman"/>
                <w:sz w:val="21"/>
                <w:szCs w:val="21"/>
              </w:rPr>
              <w:t>元</w:t>
            </w:r>
          </w:p>
        </w:tc>
        <w:tc>
          <w:tcPr>
            <w:tcW w:w="852" w:type="dxa"/>
            <w:tcBorders>
              <w:top w:val="single" w:color="000000" w:sz="4" w:space="0"/>
              <w:left w:val="nil"/>
              <w:bottom w:val="single" w:color="000000" w:sz="4" w:space="0"/>
              <w:right w:val="single" w:color="000000" w:sz="4" w:space="0"/>
            </w:tcBorders>
            <w:vAlign w:val="center"/>
          </w:tcPr>
          <w:p>
            <w:pPr>
              <w:pStyle w:val="31"/>
              <w:spacing w:before="16" w:line="304"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6" w:line="304"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6" w:line="304" w:lineRule="exact"/>
              <w:ind w:left="74" w:right="61"/>
              <w:jc w:val="center"/>
              <w:rPr>
                <w:rFonts w:cs="Times New Roman"/>
                <w:sz w:val="21"/>
                <w:szCs w:val="21"/>
              </w:rPr>
            </w:pPr>
            <w:r>
              <w:rPr>
                <w:rFonts w:hint="eastAsia" w:cs="Times New Roman"/>
                <w:sz w:val="21"/>
                <w:szCs w:val="21"/>
              </w:rPr>
              <w:t>见表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5"/>
              <w:ind w:left="72" w:right="67"/>
              <w:jc w:val="center"/>
              <w:rPr>
                <w:rFonts w:cs="Times New Roman"/>
                <w:sz w:val="21"/>
                <w:szCs w:val="21"/>
              </w:rPr>
            </w:pPr>
            <w:r>
              <w:rPr>
                <w:rFonts w:hint="eastAsia" w:cs="Times New Roman"/>
                <w:sz w:val="21"/>
                <w:szCs w:val="21"/>
              </w:rPr>
              <w:t>3.4.2</w:t>
            </w:r>
          </w:p>
          <w:p>
            <w:pPr>
              <w:pStyle w:val="31"/>
              <w:spacing w:before="5"/>
              <w:ind w:left="72" w:right="67"/>
              <w:jc w:val="center"/>
              <w:rPr>
                <w:rFonts w:cs="Times New Roman"/>
                <w:sz w:val="21"/>
                <w:szCs w:val="21"/>
              </w:rPr>
            </w:pPr>
            <w:r>
              <w:rPr>
                <w:rFonts w:hint="eastAsia" w:cs="Times New Roman"/>
                <w:sz w:val="21"/>
                <w:szCs w:val="21"/>
              </w:rPr>
              <w:t>生均学费</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108</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当年学费收入</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95" w:right="83"/>
              <w:jc w:val="center"/>
              <w:rPr>
                <w:rFonts w:cs="Times New Roman"/>
                <w:sz w:val="21"/>
                <w:szCs w:val="21"/>
              </w:rPr>
            </w:pPr>
            <w:r>
              <w:rPr>
                <w:rFonts w:hint="eastAsia" w:cs="Times New Roman"/>
                <w:sz w:val="21"/>
                <w:szCs w:val="21"/>
              </w:rPr>
              <w:t>万元</w:t>
            </w:r>
          </w:p>
        </w:tc>
        <w:tc>
          <w:tcPr>
            <w:tcW w:w="852" w:type="dxa"/>
            <w:tcBorders>
              <w:top w:val="single" w:color="000000" w:sz="4" w:space="0"/>
              <w:left w:val="nil"/>
              <w:bottom w:val="single" w:color="000000" w:sz="4" w:space="0"/>
              <w:right w:val="single" w:color="000000" w:sz="4" w:space="0"/>
            </w:tcBorders>
            <w:vAlign w:val="center"/>
          </w:tcPr>
          <w:p>
            <w:pPr>
              <w:pStyle w:val="31"/>
              <w:spacing w:before="16"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6"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6" w:line="306" w:lineRule="exact"/>
              <w:ind w:left="73" w:right="62"/>
              <w:jc w:val="center"/>
              <w:rPr>
                <w:rFonts w:cs="Times New Roman"/>
                <w:sz w:val="21"/>
                <w:szCs w:val="21"/>
              </w:rPr>
            </w:pPr>
            <w:r>
              <w:rPr>
                <w:rFonts w:hint="eastAsia" w:cs="Times New Roman"/>
                <w:sz w:val="21"/>
                <w:szCs w:val="21"/>
              </w:rPr>
              <w:t>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109</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当年生均学费</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元</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4" w:line="306" w:lineRule="exact"/>
              <w:ind w:left="73" w:right="62"/>
              <w:jc w:val="center"/>
              <w:rPr>
                <w:rFonts w:cs="Times New Roman"/>
                <w:sz w:val="21"/>
                <w:szCs w:val="21"/>
              </w:rPr>
            </w:pPr>
            <w:r>
              <w:rPr>
                <w:rFonts w:hint="eastAsia" w:cs="Times New Roman"/>
                <w:sz w:val="21"/>
                <w:szCs w:val="21"/>
              </w:rPr>
              <w:t>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3.4.3</w:t>
            </w:r>
          </w:p>
          <w:p>
            <w:pPr>
              <w:pStyle w:val="31"/>
              <w:spacing w:before="3" w:line="306" w:lineRule="exact"/>
              <w:ind w:left="72" w:right="67"/>
              <w:jc w:val="center"/>
              <w:rPr>
                <w:rFonts w:cs="Times New Roman"/>
                <w:sz w:val="21"/>
                <w:szCs w:val="21"/>
              </w:rPr>
            </w:pPr>
            <w:r>
              <w:rPr>
                <w:rFonts w:hint="eastAsia" w:cs="Times New Roman"/>
                <w:sz w:val="21"/>
                <w:szCs w:val="21"/>
              </w:rPr>
              <w:t>举办者投入</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110</w:t>
            </w:r>
          </w:p>
        </w:tc>
        <w:tc>
          <w:tcPr>
            <w:tcW w:w="3872" w:type="dxa"/>
            <w:tcBorders>
              <w:top w:val="single" w:color="000000" w:sz="4" w:space="0"/>
              <w:left w:val="nil"/>
              <w:bottom w:val="single" w:color="000000" w:sz="4" w:space="0"/>
              <w:right w:val="single" w:color="000000" w:sz="4" w:space="0"/>
            </w:tcBorders>
          </w:tcPr>
          <w:p>
            <w:pPr>
              <w:pStyle w:val="31"/>
              <w:spacing w:before="170"/>
              <w:ind w:left="16"/>
              <w:rPr>
                <w:rFonts w:cs="Times New Roman"/>
                <w:sz w:val="21"/>
                <w:szCs w:val="21"/>
              </w:rPr>
            </w:pPr>
            <w:r>
              <w:rPr>
                <w:rFonts w:hint="eastAsia" w:cs="Times New Roman"/>
                <w:sz w:val="21"/>
                <w:szCs w:val="21"/>
              </w:rPr>
              <w:t>举办者总投入</w:t>
            </w:r>
          </w:p>
        </w:tc>
        <w:tc>
          <w:tcPr>
            <w:tcW w:w="708" w:type="dxa"/>
            <w:tcBorders>
              <w:top w:val="single" w:color="000000" w:sz="4" w:space="0"/>
              <w:left w:val="nil"/>
              <w:bottom w:val="single" w:color="000000" w:sz="4" w:space="0"/>
              <w:right w:val="single" w:color="000000" w:sz="4" w:space="0"/>
            </w:tcBorders>
          </w:tcPr>
          <w:p>
            <w:pPr>
              <w:pStyle w:val="31"/>
              <w:spacing w:before="170"/>
              <w:ind w:left="95" w:right="83"/>
              <w:jc w:val="center"/>
              <w:rPr>
                <w:rFonts w:cs="Times New Roman"/>
                <w:sz w:val="21"/>
                <w:szCs w:val="21"/>
              </w:rPr>
            </w:pPr>
            <w:r>
              <w:rPr>
                <w:rFonts w:hint="eastAsia" w:cs="Times New Roman"/>
                <w:sz w:val="21"/>
                <w:szCs w:val="21"/>
              </w:rPr>
              <w:t>万元</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10818.08</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2168.9</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15"/>
              <w:ind w:left="72" w:right="67"/>
              <w:jc w:val="center"/>
              <w:rPr>
                <w:rFonts w:cs="Times New Roman"/>
                <w:sz w:val="21"/>
                <w:szCs w:val="21"/>
              </w:rPr>
            </w:pPr>
            <w:r>
              <w:rPr>
                <w:rFonts w:hint="eastAsia" w:cs="Times New Roman"/>
                <w:sz w:val="21"/>
                <w:szCs w:val="21"/>
              </w:rPr>
              <w:t>3.4.4</w:t>
            </w:r>
          </w:p>
          <w:p>
            <w:pPr>
              <w:pStyle w:val="31"/>
              <w:spacing w:before="4"/>
              <w:ind w:left="72" w:right="67"/>
              <w:jc w:val="center"/>
              <w:rPr>
                <w:rFonts w:cs="Times New Roman"/>
                <w:sz w:val="21"/>
                <w:szCs w:val="21"/>
              </w:rPr>
            </w:pPr>
            <w:r>
              <w:rPr>
                <w:rFonts w:hint="eastAsia" w:cs="Times New Roman"/>
                <w:sz w:val="21"/>
                <w:szCs w:val="21"/>
              </w:rPr>
              <w:t>绩效评价</w:t>
            </w:r>
          </w:p>
        </w:tc>
        <w:tc>
          <w:tcPr>
            <w:tcW w:w="595" w:type="dxa"/>
            <w:tcBorders>
              <w:top w:val="single" w:color="000000" w:sz="4" w:space="0"/>
              <w:left w:val="nil"/>
              <w:bottom w:val="single" w:color="000000" w:sz="4" w:space="0"/>
              <w:right w:val="single" w:color="000000" w:sz="4" w:space="0"/>
            </w:tcBorders>
            <w:vAlign w:val="center"/>
          </w:tcPr>
          <w:p>
            <w:pPr>
              <w:pStyle w:val="31"/>
              <w:spacing w:before="95"/>
              <w:ind w:right="-15"/>
              <w:jc w:val="center"/>
              <w:rPr>
                <w:rFonts w:cs="Times New Roman"/>
                <w:sz w:val="21"/>
                <w:szCs w:val="21"/>
              </w:rPr>
            </w:pPr>
            <w:r>
              <w:rPr>
                <w:rFonts w:hint="eastAsia" w:cs="Times New Roman"/>
                <w:sz w:val="21"/>
                <w:szCs w:val="21"/>
              </w:rPr>
              <w:t>111</w:t>
            </w:r>
          </w:p>
        </w:tc>
        <w:tc>
          <w:tcPr>
            <w:tcW w:w="3872" w:type="dxa"/>
            <w:tcBorders>
              <w:top w:val="single" w:color="000000" w:sz="4" w:space="0"/>
              <w:left w:val="nil"/>
              <w:bottom w:val="single" w:color="000000" w:sz="4" w:space="0"/>
              <w:right w:val="single" w:color="000000" w:sz="4" w:space="0"/>
            </w:tcBorders>
          </w:tcPr>
          <w:p>
            <w:pPr>
              <w:pStyle w:val="31"/>
              <w:spacing w:before="95"/>
              <w:ind w:left="16"/>
              <w:rPr>
                <w:rFonts w:cs="Times New Roman"/>
                <w:sz w:val="21"/>
                <w:szCs w:val="21"/>
              </w:rPr>
            </w:pPr>
            <w:r>
              <w:rPr>
                <w:rFonts w:hint="eastAsia" w:cs="Times New Roman"/>
                <w:sz w:val="21"/>
                <w:szCs w:val="21"/>
              </w:rPr>
              <w:t>当年学校专项经费绩效评价项目数</w:t>
            </w:r>
          </w:p>
        </w:tc>
        <w:tc>
          <w:tcPr>
            <w:tcW w:w="708" w:type="dxa"/>
            <w:tcBorders>
              <w:top w:val="single" w:color="000000" w:sz="4" w:space="0"/>
              <w:left w:val="nil"/>
              <w:bottom w:val="single" w:color="000000" w:sz="4" w:space="0"/>
              <w:right w:val="single" w:color="000000" w:sz="4" w:space="0"/>
            </w:tcBorders>
          </w:tcPr>
          <w:p>
            <w:pPr>
              <w:pStyle w:val="31"/>
              <w:spacing w:before="95"/>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112</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pacing w:val="-39"/>
                <w:sz w:val="21"/>
                <w:szCs w:val="21"/>
              </w:rPr>
              <w:t>当年学校专项经费绩效评价合格项目数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215"/>
              <w:ind w:left="72" w:right="67"/>
              <w:jc w:val="center"/>
              <w:rPr>
                <w:rFonts w:cs="Times New Roman"/>
                <w:sz w:val="21"/>
                <w:szCs w:val="21"/>
              </w:rPr>
            </w:pPr>
            <w:r>
              <w:rPr>
                <w:rFonts w:hint="eastAsia" w:cs="Times New Roman"/>
                <w:sz w:val="21"/>
                <w:szCs w:val="21"/>
              </w:rPr>
              <w:t>4.1.1</w:t>
            </w:r>
          </w:p>
          <w:p>
            <w:pPr>
              <w:pStyle w:val="31"/>
              <w:spacing w:before="5"/>
              <w:ind w:left="72" w:right="67"/>
              <w:jc w:val="center"/>
              <w:rPr>
                <w:rFonts w:cs="Times New Roman"/>
                <w:sz w:val="21"/>
                <w:szCs w:val="21"/>
              </w:rPr>
            </w:pPr>
            <w:r>
              <w:rPr>
                <w:rFonts w:hint="eastAsia" w:cs="Times New Roman"/>
                <w:sz w:val="21"/>
                <w:szCs w:val="21"/>
              </w:rPr>
              <w:t>招收留学生</w:t>
            </w:r>
          </w:p>
        </w:tc>
        <w:tc>
          <w:tcPr>
            <w:tcW w:w="595" w:type="dxa"/>
            <w:vMerge w:val="restart"/>
            <w:tcBorders>
              <w:top w:val="nil"/>
              <w:left w:val="nil"/>
              <w:bottom w:val="single" w:color="000000" w:sz="4" w:space="0"/>
              <w:right w:val="single" w:color="000000" w:sz="4" w:space="0"/>
            </w:tcBorders>
            <w:vAlign w:val="center"/>
          </w:tcPr>
          <w:p>
            <w:pPr>
              <w:pStyle w:val="31"/>
              <w:spacing w:before="3"/>
              <w:jc w:val="center"/>
              <w:rPr>
                <w:sz w:val="21"/>
                <w:szCs w:val="21"/>
              </w:rPr>
            </w:pPr>
          </w:p>
          <w:p>
            <w:pPr>
              <w:pStyle w:val="31"/>
              <w:ind w:left="225" w:right="-15"/>
              <w:jc w:val="center"/>
              <w:rPr>
                <w:rFonts w:cs="Times New Roman"/>
                <w:sz w:val="21"/>
                <w:szCs w:val="21"/>
              </w:rPr>
            </w:pPr>
            <w:r>
              <w:rPr>
                <w:rFonts w:hint="eastAsia" w:cs="Times New Roman"/>
                <w:sz w:val="21"/>
                <w:szCs w:val="21"/>
              </w:rPr>
              <w:t>113</w:t>
            </w:r>
          </w:p>
        </w:tc>
        <w:tc>
          <w:tcPr>
            <w:tcW w:w="3872" w:type="dxa"/>
            <w:tcBorders>
              <w:top w:val="single" w:color="000000" w:sz="4" w:space="0"/>
              <w:left w:val="nil"/>
              <w:bottom w:val="single" w:color="000000" w:sz="4" w:space="0"/>
              <w:right w:val="single" w:color="000000" w:sz="4" w:space="0"/>
            </w:tcBorders>
          </w:tcPr>
          <w:p>
            <w:pPr>
              <w:pStyle w:val="31"/>
              <w:spacing w:before="40"/>
              <w:ind w:left="16"/>
              <w:rPr>
                <w:rFonts w:cs="Times New Roman"/>
                <w:sz w:val="21"/>
                <w:szCs w:val="21"/>
              </w:rPr>
            </w:pPr>
            <w:r>
              <w:rPr>
                <w:rFonts w:hint="eastAsia" w:cs="Times New Roman"/>
                <w:sz w:val="21"/>
                <w:szCs w:val="21"/>
              </w:rPr>
              <w:t>当年招收全日制国（境）外留学生数</w:t>
            </w:r>
          </w:p>
        </w:tc>
        <w:tc>
          <w:tcPr>
            <w:tcW w:w="708" w:type="dxa"/>
            <w:tcBorders>
              <w:top w:val="single" w:color="000000" w:sz="4" w:space="0"/>
              <w:left w:val="nil"/>
              <w:bottom w:val="single" w:color="000000" w:sz="4" w:space="0"/>
              <w:right w:val="single" w:color="000000" w:sz="4" w:space="0"/>
            </w:tcBorders>
          </w:tcPr>
          <w:p>
            <w:pPr>
              <w:pStyle w:val="31"/>
              <w:spacing w:before="40"/>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6"/>
              <w:rPr>
                <w:rFonts w:cs="Times New Roman"/>
                <w:sz w:val="21"/>
                <w:szCs w:val="21"/>
              </w:rPr>
            </w:pPr>
            <w:r>
              <w:rPr>
                <w:rFonts w:hint="eastAsia" w:cs="Times New Roman"/>
                <w:sz w:val="21"/>
                <w:szCs w:val="21"/>
              </w:rPr>
              <w:t>其中：“一带一路”沿线国家留学生数</w:t>
            </w:r>
          </w:p>
        </w:tc>
        <w:tc>
          <w:tcPr>
            <w:tcW w:w="708" w:type="dxa"/>
            <w:tcBorders>
              <w:top w:val="single" w:color="000000" w:sz="4" w:space="0"/>
              <w:left w:val="nil"/>
              <w:bottom w:val="single" w:color="000000" w:sz="4" w:space="0"/>
              <w:right w:val="single" w:color="000000" w:sz="4" w:space="0"/>
            </w:tcBorders>
          </w:tcPr>
          <w:p>
            <w:pPr>
              <w:pStyle w:val="31"/>
              <w:spacing w:before="172"/>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9"/>
              <w:rPr>
                <w:sz w:val="21"/>
                <w:szCs w:val="21"/>
              </w:rPr>
            </w:pPr>
          </w:p>
          <w:p>
            <w:pPr>
              <w:pStyle w:val="31"/>
              <w:ind w:left="72" w:right="67"/>
              <w:jc w:val="center"/>
              <w:rPr>
                <w:rFonts w:cs="Times New Roman"/>
                <w:sz w:val="21"/>
                <w:szCs w:val="21"/>
              </w:rPr>
            </w:pPr>
            <w:r>
              <w:rPr>
                <w:rFonts w:hint="eastAsia" w:cs="Times New Roman"/>
                <w:sz w:val="21"/>
                <w:szCs w:val="21"/>
              </w:rPr>
              <w:t>4.1.2</w:t>
            </w:r>
          </w:p>
          <w:p>
            <w:pPr>
              <w:pStyle w:val="31"/>
              <w:spacing w:before="5"/>
              <w:ind w:left="72" w:right="67"/>
              <w:jc w:val="center"/>
              <w:rPr>
                <w:rFonts w:cs="Times New Roman"/>
                <w:sz w:val="21"/>
                <w:szCs w:val="21"/>
              </w:rPr>
            </w:pPr>
            <w:r>
              <w:rPr>
                <w:rFonts w:hint="eastAsia" w:cs="Times New Roman"/>
                <w:sz w:val="21"/>
                <w:szCs w:val="21"/>
              </w:rPr>
              <w:t>规范管理</w:t>
            </w:r>
          </w:p>
        </w:tc>
        <w:tc>
          <w:tcPr>
            <w:tcW w:w="595" w:type="dxa"/>
            <w:tcBorders>
              <w:top w:val="single" w:color="000000" w:sz="4" w:space="0"/>
              <w:left w:val="nil"/>
              <w:bottom w:val="single" w:color="000000" w:sz="4" w:space="0"/>
              <w:right w:val="single" w:color="000000" w:sz="4" w:space="0"/>
            </w:tcBorders>
            <w:vAlign w:val="center"/>
          </w:tcPr>
          <w:p>
            <w:pPr>
              <w:pStyle w:val="31"/>
              <w:spacing w:before="38"/>
              <w:ind w:right="-15"/>
              <w:jc w:val="center"/>
              <w:rPr>
                <w:rFonts w:cs="Times New Roman"/>
                <w:sz w:val="21"/>
                <w:szCs w:val="21"/>
              </w:rPr>
            </w:pPr>
            <w:r>
              <w:rPr>
                <w:rFonts w:hint="eastAsia" w:cs="Times New Roman"/>
                <w:sz w:val="21"/>
                <w:szCs w:val="21"/>
              </w:rPr>
              <w:t>114</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留学生管理机构数</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40"/>
              <w:ind w:right="-15"/>
              <w:jc w:val="center"/>
              <w:rPr>
                <w:rFonts w:cs="Times New Roman"/>
                <w:sz w:val="21"/>
                <w:szCs w:val="21"/>
              </w:rPr>
            </w:pPr>
            <w:r>
              <w:rPr>
                <w:rFonts w:hint="eastAsia" w:cs="Times New Roman"/>
                <w:sz w:val="21"/>
                <w:szCs w:val="21"/>
              </w:rPr>
              <w:t>115</w:t>
            </w:r>
          </w:p>
        </w:tc>
        <w:tc>
          <w:tcPr>
            <w:tcW w:w="3872" w:type="dxa"/>
            <w:tcBorders>
              <w:top w:val="single" w:color="000000" w:sz="4" w:space="0"/>
              <w:left w:val="nil"/>
              <w:bottom w:val="single" w:color="000000" w:sz="4" w:space="0"/>
              <w:right w:val="single" w:color="000000" w:sz="4" w:space="0"/>
            </w:tcBorders>
          </w:tcPr>
          <w:p>
            <w:pPr>
              <w:pStyle w:val="31"/>
              <w:spacing w:before="40"/>
              <w:ind w:left="16"/>
              <w:rPr>
                <w:rFonts w:cs="Times New Roman"/>
                <w:sz w:val="21"/>
                <w:szCs w:val="21"/>
              </w:rPr>
            </w:pPr>
            <w:r>
              <w:rPr>
                <w:rFonts w:hint="eastAsia" w:cs="Times New Roman"/>
                <w:sz w:val="21"/>
                <w:szCs w:val="21"/>
              </w:rPr>
              <w:t>留学生管理专兼职人员数</w:t>
            </w:r>
          </w:p>
        </w:tc>
        <w:tc>
          <w:tcPr>
            <w:tcW w:w="708" w:type="dxa"/>
            <w:tcBorders>
              <w:top w:val="single" w:color="000000" w:sz="4" w:space="0"/>
              <w:left w:val="nil"/>
              <w:bottom w:val="single" w:color="000000" w:sz="4" w:space="0"/>
              <w:right w:val="single" w:color="000000" w:sz="4" w:space="0"/>
            </w:tcBorders>
          </w:tcPr>
          <w:p>
            <w:pPr>
              <w:pStyle w:val="31"/>
              <w:spacing w:before="40"/>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38"/>
              <w:ind w:right="-15"/>
              <w:jc w:val="center"/>
              <w:rPr>
                <w:rFonts w:cs="Times New Roman"/>
                <w:sz w:val="21"/>
                <w:szCs w:val="21"/>
              </w:rPr>
            </w:pPr>
            <w:r>
              <w:rPr>
                <w:rFonts w:hint="eastAsia" w:cs="Times New Roman"/>
                <w:sz w:val="21"/>
                <w:szCs w:val="21"/>
              </w:rPr>
              <w:t>116</w:t>
            </w:r>
          </w:p>
        </w:tc>
        <w:tc>
          <w:tcPr>
            <w:tcW w:w="3872" w:type="dxa"/>
            <w:tcBorders>
              <w:top w:val="single" w:color="000000" w:sz="4" w:space="0"/>
              <w:left w:val="nil"/>
              <w:bottom w:val="single" w:color="000000" w:sz="4" w:space="0"/>
              <w:right w:val="single" w:color="000000" w:sz="4" w:space="0"/>
            </w:tcBorders>
          </w:tcPr>
          <w:p>
            <w:pPr>
              <w:pStyle w:val="31"/>
              <w:spacing w:before="38"/>
              <w:ind w:left="16"/>
              <w:rPr>
                <w:rFonts w:cs="Times New Roman"/>
                <w:sz w:val="21"/>
                <w:szCs w:val="21"/>
              </w:rPr>
            </w:pPr>
            <w:r>
              <w:rPr>
                <w:rFonts w:hint="eastAsia" w:cs="Times New Roman"/>
                <w:sz w:val="21"/>
                <w:szCs w:val="21"/>
              </w:rPr>
              <w:t>留学生管理制度数</w:t>
            </w:r>
          </w:p>
        </w:tc>
        <w:tc>
          <w:tcPr>
            <w:tcW w:w="708" w:type="dxa"/>
            <w:tcBorders>
              <w:top w:val="single" w:color="000000" w:sz="4" w:space="0"/>
              <w:left w:val="nil"/>
              <w:bottom w:val="single" w:color="000000" w:sz="4" w:space="0"/>
              <w:right w:val="single" w:color="000000" w:sz="4" w:space="0"/>
            </w:tcBorders>
          </w:tcPr>
          <w:p>
            <w:pPr>
              <w:pStyle w:val="31"/>
              <w:spacing w:before="38"/>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14"/>
              <w:ind w:left="72" w:right="67"/>
              <w:jc w:val="center"/>
              <w:rPr>
                <w:rFonts w:cs="Times New Roman"/>
                <w:sz w:val="21"/>
                <w:szCs w:val="21"/>
              </w:rPr>
            </w:pPr>
            <w:r>
              <w:rPr>
                <w:rFonts w:hint="eastAsia" w:cs="Times New Roman"/>
                <w:sz w:val="21"/>
                <w:szCs w:val="21"/>
              </w:rPr>
              <w:t>4.1.3</w:t>
            </w:r>
          </w:p>
          <w:p>
            <w:pPr>
              <w:pStyle w:val="31"/>
              <w:spacing w:before="4" w:line="306" w:lineRule="exact"/>
              <w:ind w:left="10" w:right="5"/>
              <w:jc w:val="center"/>
              <w:rPr>
                <w:rFonts w:cs="Times New Roman"/>
                <w:sz w:val="21"/>
                <w:szCs w:val="21"/>
              </w:rPr>
            </w:pPr>
            <w:r>
              <w:rPr>
                <w:rFonts w:hint="eastAsia" w:cs="Times New Roman"/>
                <w:sz w:val="21"/>
                <w:szCs w:val="21"/>
              </w:rPr>
              <w:t>培养模式创新</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117</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撰写报告时，描述留学生培养模式创新举措</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0"/>
              <w:rPr>
                <w:sz w:val="21"/>
                <w:szCs w:val="21"/>
              </w:rPr>
            </w:pPr>
          </w:p>
          <w:p>
            <w:pPr>
              <w:pStyle w:val="31"/>
              <w:ind w:left="72" w:right="67"/>
              <w:jc w:val="center"/>
              <w:rPr>
                <w:rFonts w:cs="Times New Roman"/>
                <w:sz w:val="21"/>
                <w:szCs w:val="21"/>
              </w:rPr>
            </w:pPr>
            <w:r>
              <w:rPr>
                <w:rFonts w:hint="eastAsia" w:cs="Times New Roman"/>
                <w:sz w:val="21"/>
                <w:szCs w:val="21"/>
              </w:rPr>
              <w:t>4.2.1</w:t>
            </w:r>
          </w:p>
          <w:p>
            <w:pPr>
              <w:pStyle w:val="31"/>
              <w:spacing w:before="5"/>
              <w:ind w:left="10" w:right="5"/>
              <w:jc w:val="center"/>
              <w:rPr>
                <w:rFonts w:cs="Times New Roman"/>
                <w:sz w:val="21"/>
                <w:szCs w:val="21"/>
              </w:rPr>
            </w:pPr>
            <w:r>
              <w:rPr>
                <w:rFonts w:hint="eastAsia" w:cs="Times New Roman"/>
                <w:sz w:val="21"/>
                <w:szCs w:val="21"/>
              </w:rPr>
              <w:t>境外合作办学</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118</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当年国（境）外办学点数量</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4" w:line="306" w:lineRule="exact"/>
              <w:ind w:left="74" w:right="61"/>
              <w:jc w:val="center"/>
              <w:rPr>
                <w:rFonts w:cs="Times New Roman"/>
                <w:sz w:val="21"/>
                <w:szCs w:val="21"/>
              </w:rPr>
            </w:pPr>
            <w:r>
              <w:rPr>
                <w:rFonts w:hint="eastAsia" w:cs="Times New Roman"/>
                <w:sz w:val="21"/>
                <w:szCs w:val="21"/>
              </w:rPr>
              <w:t>见表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119</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当年国（境）外办学点在校生数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120</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当年教师承担国（境）外办学点的教学时数</w:t>
            </w:r>
          </w:p>
        </w:tc>
        <w:tc>
          <w:tcPr>
            <w:tcW w:w="708" w:type="dxa"/>
            <w:tcBorders>
              <w:top w:val="single" w:color="000000" w:sz="4" w:space="0"/>
              <w:left w:val="nil"/>
              <w:bottom w:val="single" w:color="000000" w:sz="4" w:space="0"/>
              <w:right w:val="single" w:color="000000" w:sz="4" w:space="0"/>
            </w:tcBorders>
          </w:tcPr>
          <w:p>
            <w:pPr>
              <w:pStyle w:val="31"/>
              <w:spacing w:before="170"/>
              <w:ind w:left="95" w:right="83"/>
              <w:jc w:val="center"/>
              <w:rPr>
                <w:rFonts w:cs="Times New Roman"/>
                <w:sz w:val="21"/>
                <w:szCs w:val="21"/>
              </w:rPr>
            </w:pPr>
            <w:r>
              <w:rPr>
                <w:rFonts w:hint="eastAsia" w:cs="Times New Roman"/>
                <w:sz w:val="21"/>
                <w:szCs w:val="21"/>
              </w:rPr>
              <w:t>学时</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3"/>
              <w:rPr>
                <w:sz w:val="21"/>
                <w:szCs w:val="21"/>
              </w:rPr>
            </w:pPr>
          </w:p>
          <w:p>
            <w:pPr>
              <w:pStyle w:val="31"/>
              <w:ind w:left="72" w:right="67"/>
              <w:jc w:val="center"/>
              <w:rPr>
                <w:rFonts w:cs="Times New Roman"/>
                <w:sz w:val="21"/>
                <w:szCs w:val="21"/>
              </w:rPr>
            </w:pPr>
            <w:r>
              <w:rPr>
                <w:rFonts w:hint="eastAsia" w:cs="Times New Roman"/>
                <w:sz w:val="21"/>
                <w:szCs w:val="21"/>
              </w:rPr>
              <w:t>4.2.2</w:t>
            </w:r>
          </w:p>
          <w:p>
            <w:pPr>
              <w:pStyle w:val="31"/>
              <w:spacing w:before="5"/>
              <w:ind w:left="10" w:right="5"/>
              <w:jc w:val="center"/>
              <w:rPr>
                <w:rFonts w:cs="Times New Roman"/>
                <w:sz w:val="21"/>
                <w:szCs w:val="21"/>
              </w:rPr>
            </w:pPr>
            <w:r>
              <w:rPr>
                <w:rFonts w:hint="eastAsia" w:cs="Times New Roman"/>
                <w:sz w:val="21"/>
                <w:szCs w:val="21"/>
              </w:rPr>
              <w:t>职教标准输出</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121</w:t>
            </w:r>
          </w:p>
        </w:tc>
        <w:tc>
          <w:tcPr>
            <w:tcW w:w="3872" w:type="dxa"/>
            <w:tcBorders>
              <w:top w:val="single" w:color="000000" w:sz="4" w:space="0"/>
              <w:left w:val="nil"/>
              <w:bottom w:val="single" w:color="000000" w:sz="4" w:space="0"/>
              <w:right w:val="single" w:color="000000" w:sz="4" w:space="0"/>
            </w:tcBorders>
          </w:tcPr>
          <w:p>
            <w:pPr>
              <w:pStyle w:val="31"/>
              <w:spacing w:before="12" w:line="310" w:lineRule="atLeast"/>
              <w:ind w:left="16" w:right="1"/>
              <w:rPr>
                <w:rFonts w:cs="Times New Roman"/>
                <w:sz w:val="21"/>
                <w:szCs w:val="21"/>
              </w:rPr>
            </w:pPr>
            <w:r>
              <w:rPr>
                <w:rFonts w:hint="eastAsia" w:cs="Times New Roman"/>
                <w:sz w:val="21"/>
                <w:szCs w:val="21"/>
              </w:rPr>
              <w:t>开发并被国（境）外采用的专业教学标准数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0"/>
              <w:ind w:left="74" w:right="61"/>
              <w:jc w:val="center"/>
              <w:rPr>
                <w:rFonts w:cs="Times New Roman"/>
                <w:sz w:val="21"/>
                <w:szCs w:val="21"/>
              </w:rPr>
            </w:pPr>
            <w:r>
              <w:rPr>
                <w:rFonts w:hint="eastAsia" w:cs="Times New Roman"/>
                <w:sz w:val="21"/>
                <w:szCs w:val="21"/>
              </w:rPr>
              <w:t>见表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122</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pacing w:val="-41"/>
                <w:sz w:val="21"/>
                <w:szCs w:val="21"/>
              </w:rPr>
              <w:t>开发并被国（</w:t>
            </w:r>
            <w:r>
              <w:rPr>
                <w:rFonts w:hint="eastAsia" w:cs="Times New Roman"/>
                <w:spacing w:val="-39"/>
                <w:sz w:val="21"/>
                <w:szCs w:val="21"/>
              </w:rPr>
              <w:t>境</w:t>
            </w:r>
            <w:r>
              <w:rPr>
                <w:rFonts w:hint="eastAsia" w:cs="Times New Roman"/>
                <w:spacing w:val="-41"/>
                <w:sz w:val="21"/>
                <w:szCs w:val="21"/>
              </w:rPr>
              <w:t>）</w:t>
            </w:r>
            <w:r>
              <w:rPr>
                <w:rFonts w:hint="eastAsia" w:cs="Times New Roman"/>
                <w:spacing w:val="-37"/>
                <w:sz w:val="21"/>
                <w:szCs w:val="21"/>
              </w:rPr>
              <w:t>外采用的课程标准数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4" w:line="306" w:lineRule="exact"/>
              <w:ind w:left="74" w:right="61"/>
              <w:jc w:val="center"/>
              <w:rPr>
                <w:rFonts w:cs="Times New Roman"/>
                <w:sz w:val="21"/>
                <w:szCs w:val="21"/>
              </w:rPr>
            </w:pPr>
            <w:r>
              <w:rPr>
                <w:rFonts w:hint="eastAsia" w:cs="Times New Roman"/>
                <w:sz w:val="21"/>
                <w:szCs w:val="21"/>
              </w:rPr>
              <w:t>见表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123</w:t>
            </w:r>
          </w:p>
        </w:tc>
        <w:tc>
          <w:tcPr>
            <w:tcW w:w="3872" w:type="dxa"/>
            <w:tcBorders>
              <w:top w:val="single" w:color="000000" w:sz="4" w:space="0"/>
              <w:left w:val="nil"/>
              <w:bottom w:val="single" w:color="000000" w:sz="4" w:space="0"/>
              <w:right w:val="single" w:color="000000" w:sz="4" w:space="0"/>
            </w:tcBorders>
          </w:tcPr>
          <w:p>
            <w:pPr>
              <w:pStyle w:val="31"/>
              <w:spacing w:before="14" w:line="310" w:lineRule="atLeast"/>
              <w:ind w:left="16" w:right="1"/>
              <w:rPr>
                <w:rFonts w:cs="Times New Roman"/>
                <w:sz w:val="21"/>
                <w:szCs w:val="21"/>
              </w:rPr>
            </w:pPr>
            <w:r>
              <w:rPr>
                <w:rFonts w:hint="eastAsia" w:cs="Times New Roman"/>
                <w:sz w:val="21"/>
                <w:szCs w:val="21"/>
              </w:rPr>
              <w:t>开发并被国（境）外采用的其他职教标准数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0"/>
              <w:rPr>
                <w:sz w:val="21"/>
                <w:szCs w:val="21"/>
              </w:rPr>
            </w:pPr>
          </w:p>
          <w:p>
            <w:pPr>
              <w:pStyle w:val="31"/>
              <w:ind w:left="72" w:right="67"/>
              <w:jc w:val="center"/>
              <w:rPr>
                <w:rFonts w:cs="Times New Roman"/>
                <w:sz w:val="21"/>
                <w:szCs w:val="21"/>
              </w:rPr>
            </w:pPr>
            <w:r>
              <w:rPr>
                <w:rFonts w:hint="eastAsia" w:cs="Times New Roman"/>
                <w:sz w:val="21"/>
                <w:szCs w:val="21"/>
              </w:rPr>
              <w:t>4.3.1</w:t>
            </w:r>
          </w:p>
          <w:p>
            <w:pPr>
              <w:pStyle w:val="31"/>
              <w:spacing w:before="5"/>
              <w:ind w:left="72" w:right="67"/>
              <w:jc w:val="center"/>
              <w:rPr>
                <w:rFonts w:cs="Times New Roman"/>
                <w:sz w:val="21"/>
                <w:szCs w:val="21"/>
              </w:rPr>
            </w:pPr>
            <w:r>
              <w:rPr>
                <w:rFonts w:hint="eastAsia" w:cs="Times New Roman"/>
                <w:sz w:val="21"/>
                <w:szCs w:val="21"/>
              </w:rPr>
              <w:t>援外培训</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124</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累计在国（境）外设立培训机构数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125</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当年国（境）外人员培训量</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95" w:right="83"/>
              <w:jc w:val="center"/>
              <w:rPr>
                <w:rFonts w:cs="Times New Roman"/>
                <w:sz w:val="21"/>
                <w:szCs w:val="21"/>
              </w:rPr>
            </w:pPr>
            <w:r>
              <w:rPr>
                <w:rFonts w:hint="eastAsia" w:cs="Times New Roman"/>
                <w:sz w:val="21"/>
                <w:szCs w:val="21"/>
              </w:rPr>
              <w:t>人日</w:t>
            </w:r>
          </w:p>
        </w:tc>
        <w:tc>
          <w:tcPr>
            <w:tcW w:w="852" w:type="dxa"/>
            <w:tcBorders>
              <w:top w:val="single" w:color="000000" w:sz="4" w:space="0"/>
              <w:left w:val="nil"/>
              <w:bottom w:val="single" w:color="000000" w:sz="4" w:space="0"/>
              <w:right w:val="single" w:color="000000" w:sz="4" w:space="0"/>
            </w:tcBorders>
            <w:vAlign w:val="center"/>
          </w:tcPr>
          <w:p>
            <w:pPr>
              <w:pStyle w:val="31"/>
              <w:spacing w:before="14"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4"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4" w:line="306" w:lineRule="exact"/>
              <w:ind w:left="74" w:right="61"/>
              <w:jc w:val="center"/>
              <w:rPr>
                <w:rFonts w:cs="Times New Roman"/>
                <w:sz w:val="21"/>
                <w:szCs w:val="21"/>
              </w:rPr>
            </w:pPr>
            <w:r>
              <w:rPr>
                <w:rFonts w:hint="eastAsia" w:cs="Times New Roman"/>
                <w:sz w:val="21"/>
                <w:szCs w:val="21"/>
              </w:rPr>
              <w:t>见表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126</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当年专任教师赴国（境）外指导和开展培训时间</w:t>
            </w:r>
          </w:p>
        </w:tc>
        <w:tc>
          <w:tcPr>
            <w:tcW w:w="708" w:type="dxa"/>
            <w:tcBorders>
              <w:top w:val="single" w:color="000000" w:sz="4" w:space="0"/>
              <w:left w:val="nil"/>
              <w:bottom w:val="single" w:color="000000" w:sz="4" w:space="0"/>
              <w:right w:val="single" w:color="000000" w:sz="4" w:space="0"/>
            </w:tcBorders>
          </w:tcPr>
          <w:p>
            <w:pPr>
              <w:pStyle w:val="31"/>
              <w:spacing w:before="170"/>
              <w:ind w:left="95" w:right="83"/>
              <w:jc w:val="center"/>
              <w:rPr>
                <w:rFonts w:cs="Times New Roman"/>
                <w:sz w:val="21"/>
                <w:szCs w:val="21"/>
              </w:rPr>
            </w:pPr>
            <w:r>
              <w:rPr>
                <w:rFonts w:hint="eastAsia" w:cs="Times New Roman"/>
                <w:sz w:val="21"/>
                <w:szCs w:val="21"/>
              </w:rPr>
              <w:t>人日</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0"/>
              <w:ind w:left="74" w:right="61"/>
              <w:jc w:val="center"/>
              <w:rPr>
                <w:rFonts w:cs="Times New Roman"/>
                <w:sz w:val="21"/>
                <w:szCs w:val="21"/>
              </w:rPr>
            </w:pPr>
            <w:r>
              <w:rPr>
                <w:rFonts w:hint="eastAsia" w:cs="Times New Roman"/>
                <w:sz w:val="21"/>
                <w:szCs w:val="21"/>
              </w:rPr>
              <w:t>见表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ind w:left="72" w:right="67"/>
              <w:jc w:val="center"/>
              <w:rPr>
                <w:rFonts w:cs="Times New Roman"/>
                <w:sz w:val="21"/>
                <w:szCs w:val="21"/>
              </w:rPr>
            </w:pPr>
            <w:r>
              <w:rPr>
                <w:rFonts w:hint="eastAsia" w:cs="Times New Roman"/>
                <w:sz w:val="21"/>
                <w:szCs w:val="21"/>
              </w:rPr>
              <w:t>4.3.2</w:t>
            </w:r>
          </w:p>
          <w:p>
            <w:pPr>
              <w:pStyle w:val="31"/>
              <w:spacing w:before="5"/>
              <w:ind w:left="72" w:right="67"/>
              <w:jc w:val="center"/>
              <w:rPr>
                <w:rFonts w:cs="Times New Roman"/>
                <w:sz w:val="21"/>
                <w:szCs w:val="21"/>
              </w:rPr>
            </w:pPr>
            <w:r>
              <w:rPr>
                <w:rFonts w:hint="eastAsia" w:cs="Times New Roman"/>
                <w:sz w:val="21"/>
                <w:szCs w:val="21"/>
              </w:rPr>
              <w:t>技术服务</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127</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当年在国（境）外专业性组织担任职务的专任教师数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spacing w:before="170"/>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70"/>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70"/>
              <w:ind w:left="74" w:right="61"/>
              <w:jc w:val="center"/>
              <w:rPr>
                <w:rFonts w:cs="Times New Roman"/>
                <w:sz w:val="21"/>
                <w:szCs w:val="21"/>
              </w:rPr>
            </w:pPr>
            <w:r>
              <w:rPr>
                <w:rFonts w:hint="eastAsia" w:cs="Times New Roman"/>
                <w:sz w:val="21"/>
                <w:szCs w:val="21"/>
              </w:rPr>
              <w:t>见表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128</w:t>
            </w:r>
          </w:p>
        </w:tc>
        <w:tc>
          <w:tcPr>
            <w:tcW w:w="3872" w:type="dxa"/>
            <w:tcBorders>
              <w:top w:val="single" w:color="000000" w:sz="4" w:space="0"/>
              <w:left w:val="nil"/>
              <w:bottom w:val="single" w:color="000000" w:sz="4" w:space="0"/>
              <w:right w:val="single" w:color="000000" w:sz="4" w:space="0"/>
            </w:tcBorders>
          </w:tcPr>
          <w:p>
            <w:pPr>
              <w:pStyle w:val="31"/>
              <w:spacing w:before="12" w:line="310" w:lineRule="atLeast"/>
              <w:ind w:left="16" w:right="1"/>
              <w:rPr>
                <w:rFonts w:cs="Times New Roman"/>
                <w:sz w:val="21"/>
                <w:szCs w:val="21"/>
              </w:rPr>
            </w:pPr>
            <w:r>
              <w:rPr>
                <w:rFonts w:hint="eastAsia" w:cs="Times New Roman"/>
                <w:sz w:val="21"/>
                <w:szCs w:val="21"/>
              </w:rPr>
              <w:t>当年在国（境）外企业承担专业技术服务的专任教师数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0"/>
              <w:rPr>
                <w:sz w:val="21"/>
                <w:szCs w:val="21"/>
              </w:rPr>
            </w:pPr>
          </w:p>
          <w:p>
            <w:pPr>
              <w:pStyle w:val="31"/>
              <w:ind w:left="72" w:right="67"/>
              <w:jc w:val="center"/>
              <w:rPr>
                <w:rFonts w:cs="Times New Roman"/>
                <w:sz w:val="21"/>
                <w:szCs w:val="21"/>
              </w:rPr>
            </w:pPr>
            <w:r>
              <w:rPr>
                <w:rFonts w:hint="eastAsia" w:cs="Times New Roman"/>
                <w:sz w:val="21"/>
                <w:szCs w:val="21"/>
              </w:rPr>
              <w:t>4.3.3</w:t>
            </w:r>
          </w:p>
          <w:p>
            <w:pPr>
              <w:pStyle w:val="31"/>
              <w:spacing w:before="5"/>
              <w:ind w:left="72" w:right="67"/>
              <w:jc w:val="center"/>
              <w:rPr>
                <w:rFonts w:cs="Times New Roman"/>
                <w:sz w:val="21"/>
                <w:szCs w:val="21"/>
              </w:rPr>
            </w:pPr>
            <w:r>
              <w:rPr>
                <w:rFonts w:hint="eastAsia" w:cs="Times New Roman"/>
                <w:sz w:val="21"/>
                <w:szCs w:val="21"/>
              </w:rPr>
              <w:t>文化交流</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129</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当年赴国（境）外文化交流的人次</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95" w:right="83"/>
              <w:jc w:val="center"/>
              <w:rPr>
                <w:rFonts w:cs="Times New Roman"/>
                <w:sz w:val="21"/>
                <w:szCs w:val="21"/>
              </w:rPr>
            </w:pPr>
            <w:r>
              <w:rPr>
                <w:rFonts w:hint="eastAsia" w:cs="Times New Roman"/>
                <w:sz w:val="21"/>
                <w:szCs w:val="21"/>
              </w:rPr>
              <w:t>人次</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2"/>
              <w:ind w:right="-15" w:firstLine="210" w:firstLineChars="100"/>
              <w:jc w:val="center"/>
              <w:rPr>
                <w:rFonts w:cs="Times New Roman"/>
                <w:sz w:val="21"/>
                <w:szCs w:val="21"/>
              </w:rPr>
            </w:pPr>
            <w:r>
              <w:rPr>
                <w:rFonts w:hint="eastAsia" w:cs="Times New Roman"/>
                <w:sz w:val="21"/>
                <w:szCs w:val="21"/>
              </w:rPr>
              <w:t>130</w:t>
            </w:r>
          </w:p>
        </w:tc>
        <w:tc>
          <w:tcPr>
            <w:tcW w:w="3872" w:type="dxa"/>
            <w:tcBorders>
              <w:top w:val="single" w:color="000000" w:sz="4" w:space="0"/>
              <w:left w:val="nil"/>
              <w:bottom w:val="single" w:color="000000" w:sz="4" w:space="0"/>
              <w:right w:val="single" w:color="000000" w:sz="4" w:space="0"/>
            </w:tcBorders>
          </w:tcPr>
          <w:p>
            <w:pPr>
              <w:pStyle w:val="31"/>
              <w:spacing w:before="14" w:line="310" w:lineRule="atLeast"/>
              <w:ind w:left="16" w:right="1"/>
              <w:rPr>
                <w:rFonts w:cs="Times New Roman"/>
                <w:sz w:val="21"/>
                <w:szCs w:val="21"/>
              </w:rPr>
            </w:pPr>
            <w:r>
              <w:rPr>
                <w:rFonts w:hint="eastAsia" w:cs="Times New Roman"/>
                <w:sz w:val="21"/>
                <w:szCs w:val="21"/>
              </w:rPr>
              <w:t>当年承办（协办）国际文化交流活动数</w:t>
            </w:r>
          </w:p>
        </w:tc>
        <w:tc>
          <w:tcPr>
            <w:tcW w:w="708" w:type="dxa"/>
            <w:tcBorders>
              <w:top w:val="single" w:color="000000" w:sz="4" w:space="0"/>
              <w:left w:val="nil"/>
              <w:bottom w:val="single" w:color="000000" w:sz="4" w:space="0"/>
              <w:right w:val="single" w:color="000000" w:sz="4" w:space="0"/>
            </w:tcBorders>
          </w:tcPr>
          <w:p>
            <w:pPr>
              <w:pStyle w:val="31"/>
              <w:spacing w:before="172"/>
              <w:ind w:left="95" w:right="83"/>
              <w:jc w:val="center"/>
              <w:rPr>
                <w:rFonts w:cs="Times New Roman"/>
                <w:sz w:val="21"/>
                <w:szCs w:val="21"/>
              </w:rPr>
            </w:pPr>
            <w:r>
              <w:rPr>
                <w:rFonts w:hint="eastAsia" w:cs="Times New Roman"/>
                <w:sz w:val="21"/>
                <w:szCs w:val="21"/>
              </w:rPr>
              <w:t>次数</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131</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当年国（境）外技能大赛获奖数量</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项</w:t>
            </w:r>
          </w:p>
        </w:tc>
        <w:tc>
          <w:tcPr>
            <w:tcW w:w="852" w:type="dxa"/>
            <w:tcBorders>
              <w:top w:val="single" w:color="000000" w:sz="4" w:space="0"/>
              <w:left w:val="nil"/>
              <w:bottom w:val="single" w:color="000000" w:sz="4" w:space="0"/>
              <w:right w:val="single" w:color="000000" w:sz="4" w:space="0"/>
            </w:tcBorders>
            <w:vAlign w:val="center"/>
          </w:tcPr>
          <w:p>
            <w:pPr>
              <w:pStyle w:val="31"/>
              <w:spacing w:before="16" w:line="306" w:lineRule="exact"/>
              <w:ind w:left="12"/>
              <w:jc w:val="center"/>
              <w:rPr>
                <w:rFonts w:cs="Times New Roman"/>
                <w:sz w:val="21"/>
                <w:szCs w:val="21"/>
              </w:rPr>
            </w:pPr>
            <w:r>
              <w:rPr>
                <w:rFonts w:hint="eastAsia" w:cs="Times New Roman"/>
                <w:sz w:val="21"/>
                <w:szCs w:val="21"/>
              </w:rPr>
              <w:t>－</w:t>
            </w:r>
          </w:p>
        </w:tc>
        <w:tc>
          <w:tcPr>
            <w:tcW w:w="814" w:type="dxa"/>
            <w:tcBorders>
              <w:top w:val="single" w:color="000000" w:sz="4" w:space="0"/>
              <w:left w:val="nil"/>
              <w:bottom w:val="single" w:color="000000" w:sz="4" w:space="0"/>
              <w:right w:val="single" w:color="000000" w:sz="4" w:space="0"/>
            </w:tcBorders>
            <w:vAlign w:val="center"/>
          </w:tcPr>
          <w:p>
            <w:pPr>
              <w:pStyle w:val="31"/>
              <w:spacing w:before="16" w:line="306" w:lineRule="exact"/>
              <w:ind w:left="7"/>
              <w:jc w:val="center"/>
              <w:rPr>
                <w:rFonts w:cs="Times New Roman"/>
                <w:sz w:val="21"/>
                <w:szCs w:val="21"/>
              </w:rPr>
            </w:pPr>
            <w:r>
              <w:rPr>
                <w:rFonts w:hint="eastAsia" w:cs="Times New Roman"/>
                <w:sz w:val="21"/>
                <w:szCs w:val="21"/>
              </w:rPr>
              <w:t>－</w:t>
            </w:r>
          </w:p>
        </w:tc>
        <w:tc>
          <w:tcPr>
            <w:tcW w:w="907" w:type="dxa"/>
            <w:tcBorders>
              <w:top w:val="single" w:color="000000" w:sz="4" w:space="0"/>
              <w:left w:val="nil"/>
              <w:bottom w:val="single" w:color="000000" w:sz="4" w:space="0"/>
              <w:right w:val="single" w:color="000000" w:sz="4" w:space="0"/>
            </w:tcBorders>
          </w:tcPr>
          <w:p>
            <w:pPr>
              <w:pStyle w:val="31"/>
              <w:spacing w:before="16" w:line="306" w:lineRule="exact"/>
              <w:ind w:left="74" w:right="61"/>
              <w:jc w:val="center"/>
              <w:rPr>
                <w:rFonts w:cs="Times New Roman"/>
                <w:sz w:val="21"/>
                <w:szCs w:val="21"/>
              </w:rPr>
            </w:pPr>
            <w:r>
              <w:rPr>
                <w:rFonts w:hint="eastAsia" w:cs="Times New Roman"/>
                <w:sz w:val="21"/>
                <w:szCs w:val="21"/>
              </w:rPr>
              <w:t>见表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9"/>
              <w:rPr>
                <w:sz w:val="21"/>
                <w:szCs w:val="21"/>
              </w:rPr>
            </w:pPr>
          </w:p>
          <w:p>
            <w:pPr>
              <w:pStyle w:val="31"/>
              <w:spacing w:before="1"/>
              <w:ind w:left="72" w:right="67"/>
              <w:jc w:val="center"/>
              <w:rPr>
                <w:rFonts w:cs="Times New Roman"/>
                <w:sz w:val="21"/>
                <w:szCs w:val="21"/>
              </w:rPr>
            </w:pPr>
            <w:r>
              <w:rPr>
                <w:rFonts w:hint="eastAsia" w:cs="Times New Roman"/>
                <w:sz w:val="21"/>
                <w:szCs w:val="21"/>
              </w:rPr>
              <w:t>4.4.1</w:t>
            </w:r>
          </w:p>
          <w:p>
            <w:pPr>
              <w:pStyle w:val="31"/>
              <w:spacing w:before="4"/>
              <w:ind w:left="10" w:right="5"/>
              <w:jc w:val="center"/>
              <w:rPr>
                <w:rFonts w:cs="Times New Roman"/>
                <w:sz w:val="21"/>
                <w:szCs w:val="21"/>
              </w:rPr>
            </w:pPr>
            <w:r>
              <w:rPr>
                <w:rFonts w:hint="eastAsia" w:cs="Times New Roman"/>
                <w:sz w:val="21"/>
                <w:szCs w:val="21"/>
              </w:rPr>
              <w:t>助力湘企出境</w:t>
            </w: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132</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当年在“走出去”湘企就业的毕业生数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67"/>
              <w:ind w:right="-15"/>
              <w:jc w:val="center"/>
              <w:rPr>
                <w:rFonts w:cs="Times New Roman"/>
                <w:sz w:val="21"/>
                <w:szCs w:val="21"/>
              </w:rPr>
            </w:pPr>
            <w:r>
              <w:rPr>
                <w:rFonts w:hint="eastAsia" w:cs="Times New Roman"/>
                <w:sz w:val="21"/>
                <w:szCs w:val="21"/>
              </w:rPr>
              <w:t>133</w:t>
            </w:r>
          </w:p>
        </w:tc>
        <w:tc>
          <w:tcPr>
            <w:tcW w:w="3872" w:type="dxa"/>
            <w:tcBorders>
              <w:top w:val="single" w:color="000000" w:sz="4" w:space="0"/>
              <w:left w:val="nil"/>
              <w:bottom w:val="single" w:color="000000" w:sz="4" w:space="0"/>
              <w:right w:val="single" w:color="000000" w:sz="4" w:space="0"/>
            </w:tcBorders>
          </w:tcPr>
          <w:p>
            <w:pPr>
              <w:pStyle w:val="31"/>
              <w:spacing w:before="67"/>
              <w:ind w:left="16"/>
              <w:rPr>
                <w:rFonts w:cs="Times New Roman"/>
                <w:sz w:val="21"/>
                <w:szCs w:val="21"/>
              </w:rPr>
            </w:pPr>
            <w:r>
              <w:rPr>
                <w:rFonts w:hint="eastAsia" w:cs="Times New Roman"/>
                <w:sz w:val="21"/>
                <w:szCs w:val="21"/>
              </w:rPr>
              <w:t>当年为“走出去”湘企培训员工数</w:t>
            </w:r>
          </w:p>
        </w:tc>
        <w:tc>
          <w:tcPr>
            <w:tcW w:w="708" w:type="dxa"/>
            <w:tcBorders>
              <w:top w:val="single" w:color="000000" w:sz="4" w:space="0"/>
              <w:left w:val="nil"/>
              <w:bottom w:val="single" w:color="000000" w:sz="4" w:space="0"/>
              <w:right w:val="single" w:color="000000" w:sz="4" w:space="0"/>
            </w:tcBorders>
          </w:tcPr>
          <w:p>
            <w:pPr>
              <w:pStyle w:val="31"/>
              <w:spacing w:before="67"/>
              <w:ind w:left="95" w:right="83"/>
              <w:jc w:val="center"/>
              <w:rPr>
                <w:rFonts w:cs="Times New Roman"/>
                <w:sz w:val="21"/>
                <w:szCs w:val="21"/>
              </w:rPr>
            </w:pPr>
            <w:r>
              <w:rPr>
                <w:rFonts w:hint="eastAsia" w:cs="Times New Roman"/>
                <w:sz w:val="21"/>
                <w:szCs w:val="21"/>
              </w:rPr>
              <w:t>人次</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134</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当年为“走出去”湘企提供技术支持数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项</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rPr>
                <w:sz w:val="21"/>
                <w:szCs w:val="21"/>
              </w:rPr>
            </w:pPr>
          </w:p>
          <w:p>
            <w:pPr>
              <w:pStyle w:val="31"/>
              <w:spacing w:before="6"/>
              <w:rPr>
                <w:sz w:val="21"/>
                <w:szCs w:val="21"/>
              </w:rPr>
            </w:pPr>
          </w:p>
          <w:p>
            <w:pPr>
              <w:pStyle w:val="31"/>
              <w:ind w:left="72" w:right="67"/>
              <w:jc w:val="center"/>
              <w:rPr>
                <w:rFonts w:cs="Times New Roman"/>
                <w:sz w:val="21"/>
                <w:szCs w:val="21"/>
              </w:rPr>
            </w:pPr>
            <w:r>
              <w:rPr>
                <w:rFonts w:hint="eastAsia" w:cs="Times New Roman"/>
                <w:sz w:val="21"/>
                <w:szCs w:val="21"/>
              </w:rPr>
              <w:t>4.4.2</w:t>
            </w:r>
          </w:p>
          <w:p>
            <w:pPr>
              <w:pStyle w:val="31"/>
              <w:spacing w:before="2"/>
              <w:ind w:left="10" w:right="5"/>
              <w:jc w:val="center"/>
              <w:rPr>
                <w:rFonts w:cs="Times New Roman"/>
                <w:sz w:val="21"/>
                <w:szCs w:val="21"/>
              </w:rPr>
            </w:pPr>
            <w:r>
              <w:rPr>
                <w:rFonts w:hint="eastAsia" w:cs="Times New Roman"/>
                <w:sz w:val="21"/>
                <w:szCs w:val="21"/>
              </w:rPr>
              <w:t>助力湘品出海</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135</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当年为“湘品”出海搭建电商平台数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2"/>
              <w:ind w:right="-15"/>
              <w:jc w:val="center"/>
              <w:rPr>
                <w:rFonts w:cs="Times New Roman"/>
                <w:sz w:val="21"/>
                <w:szCs w:val="21"/>
              </w:rPr>
            </w:pPr>
            <w:r>
              <w:rPr>
                <w:rFonts w:hint="eastAsia" w:cs="Times New Roman"/>
                <w:sz w:val="21"/>
                <w:szCs w:val="21"/>
              </w:rPr>
              <w:t>136</w:t>
            </w:r>
          </w:p>
        </w:tc>
        <w:tc>
          <w:tcPr>
            <w:tcW w:w="3872" w:type="dxa"/>
            <w:tcBorders>
              <w:top w:val="single" w:color="000000" w:sz="4" w:space="0"/>
              <w:left w:val="nil"/>
              <w:bottom w:val="single" w:color="000000" w:sz="4" w:space="0"/>
              <w:right w:val="single" w:color="000000" w:sz="4" w:space="0"/>
            </w:tcBorders>
          </w:tcPr>
          <w:p>
            <w:pPr>
              <w:pStyle w:val="31"/>
              <w:spacing w:before="14" w:line="310" w:lineRule="atLeast"/>
              <w:ind w:left="16"/>
              <w:rPr>
                <w:rFonts w:cs="Times New Roman"/>
                <w:sz w:val="21"/>
                <w:szCs w:val="21"/>
              </w:rPr>
            </w:pPr>
            <w:r>
              <w:rPr>
                <w:rFonts w:hint="eastAsia" w:cs="Times New Roman"/>
                <w:sz w:val="21"/>
                <w:szCs w:val="21"/>
              </w:rPr>
              <w:t>当年与企业合作组织“湘品”国际贸易等活动数</w:t>
            </w:r>
          </w:p>
        </w:tc>
        <w:tc>
          <w:tcPr>
            <w:tcW w:w="708" w:type="dxa"/>
            <w:tcBorders>
              <w:top w:val="single" w:color="000000" w:sz="4" w:space="0"/>
              <w:left w:val="nil"/>
              <w:bottom w:val="single" w:color="000000" w:sz="4" w:space="0"/>
              <w:right w:val="single" w:color="000000" w:sz="4" w:space="0"/>
            </w:tcBorders>
          </w:tcPr>
          <w:p>
            <w:pPr>
              <w:pStyle w:val="31"/>
              <w:spacing w:before="172"/>
              <w:ind w:left="95" w:right="83"/>
              <w:jc w:val="center"/>
              <w:rPr>
                <w:rFonts w:cs="Times New Roman"/>
                <w:sz w:val="21"/>
                <w:szCs w:val="21"/>
              </w:rPr>
            </w:pPr>
            <w:r>
              <w:rPr>
                <w:rFonts w:hint="eastAsia" w:cs="Times New Roman"/>
                <w:sz w:val="21"/>
                <w:szCs w:val="21"/>
              </w:rPr>
              <w:t>次数</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2"/>
              <w:ind w:right="-15"/>
              <w:jc w:val="center"/>
              <w:rPr>
                <w:rFonts w:cs="Times New Roman"/>
                <w:sz w:val="21"/>
                <w:szCs w:val="21"/>
              </w:rPr>
            </w:pPr>
            <w:r>
              <w:rPr>
                <w:rFonts w:hint="eastAsia" w:cs="Times New Roman"/>
                <w:sz w:val="21"/>
                <w:szCs w:val="21"/>
              </w:rPr>
              <w:t>137</w:t>
            </w:r>
          </w:p>
        </w:tc>
        <w:tc>
          <w:tcPr>
            <w:tcW w:w="3872" w:type="dxa"/>
            <w:tcBorders>
              <w:top w:val="single" w:color="000000" w:sz="4" w:space="0"/>
              <w:left w:val="nil"/>
              <w:bottom w:val="single" w:color="000000" w:sz="4" w:space="0"/>
              <w:right w:val="single" w:color="000000" w:sz="4" w:space="0"/>
            </w:tcBorders>
          </w:tcPr>
          <w:p>
            <w:pPr>
              <w:pStyle w:val="31"/>
              <w:spacing w:before="14" w:line="310" w:lineRule="atLeast"/>
              <w:ind w:left="16" w:right="1"/>
              <w:rPr>
                <w:rFonts w:cs="Times New Roman"/>
                <w:sz w:val="21"/>
                <w:szCs w:val="21"/>
              </w:rPr>
            </w:pPr>
            <w:r>
              <w:rPr>
                <w:rFonts w:hint="eastAsia" w:cs="Times New Roman"/>
                <w:sz w:val="21"/>
                <w:szCs w:val="21"/>
              </w:rPr>
              <w:t>当年为“湘品”出海培训推广销售人员数</w:t>
            </w:r>
          </w:p>
        </w:tc>
        <w:tc>
          <w:tcPr>
            <w:tcW w:w="708" w:type="dxa"/>
            <w:tcBorders>
              <w:top w:val="single" w:color="000000" w:sz="4" w:space="0"/>
              <w:left w:val="nil"/>
              <w:bottom w:val="single" w:color="000000" w:sz="4" w:space="0"/>
              <w:right w:val="single" w:color="000000" w:sz="4" w:space="0"/>
            </w:tcBorders>
          </w:tcPr>
          <w:p>
            <w:pPr>
              <w:pStyle w:val="31"/>
              <w:spacing w:before="172"/>
              <w:ind w:left="95" w:right="83"/>
              <w:jc w:val="center"/>
              <w:rPr>
                <w:rFonts w:cs="Times New Roman"/>
                <w:sz w:val="21"/>
                <w:szCs w:val="21"/>
              </w:rPr>
            </w:pPr>
            <w:r>
              <w:rPr>
                <w:rFonts w:hint="eastAsia" w:cs="Times New Roman"/>
                <w:sz w:val="21"/>
                <w:szCs w:val="21"/>
              </w:rPr>
              <w:t>人次</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594" w:type="dxa"/>
            <w:tcBorders>
              <w:top w:val="single" w:color="000000" w:sz="4" w:space="0"/>
              <w:left w:val="single" w:color="000000" w:sz="4" w:space="0"/>
              <w:bottom w:val="single" w:color="000000" w:sz="4" w:space="0"/>
              <w:right w:val="single" w:color="000000" w:sz="4" w:space="0"/>
            </w:tcBorders>
          </w:tcPr>
          <w:p>
            <w:pPr>
              <w:pStyle w:val="31"/>
              <w:spacing w:before="62"/>
              <w:ind w:left="72" w:right="67"/>
              <w:jc w:val="center"/>
              <w:rPr>
                <w:rFonts w:cs="Times New Roman"/>
                <w:sz w:val="21"/>
                <w:szCs w:val="21"/>
              </w:rPr>
            </w:pPr>
            <w:r>
              <w:rPr>
                <w:rFonts w:hint="eastAsia" w:cs="Times New Roman"/>
                <w:sz w:val="21"/>
                <w:szCs w:val="21"/>
              </w:rPr>
              <w:t>5.1.1</w:t>
            </w:r>
          </w:p>
        </w:tc>
        <w:tc>
          <w:tcPr>
            <w:tcW w:w="595" w:type="dxa"/>
            <w:tcBorders>
              <w:top w:val="single" w:color="000000" w:sz="4" w:space="0"/>
              <w:left w:val="nil"/>
              <w:bottom w:val="single" w:color="000000" w:sz="4" w:space="0"/>
              <w:right w:val="single" w:color="000000" w:sz="4" w:space="0"/>
            </w:tcBorders>
            <w:vAlign w:val="center"/>
          </w:tcPr>
          <w:p>
            <w:pPr>
              <w:pStyle w:val="31"/>
              <w:spacing w:before="62"/>
              <w:ind w:right="-15"/>
              <w:jc w:val="center"/>
              <w:rPr>
                <w:rFonts w:cs="Times New Roman"/>
                <w:sz w:val="21"/>
                <w:szCs w:val="21"/>
              </w:rPr>
            </w:pPr>
            <w:r>
              <w:rPr>
                <w:rFonts w:hint="eastAsia" w:cs="Times New Roman"/>
                <w:sz w:val="21"/>
                <w:szCs w:val="21"/>
              </w:rPr>
              <w:t>138</w:t>
            </w:r>
          </w:p>
        </w:tc>
        <w:tc>
          <w:tcPr>
            <w:tcW w:w="3872" w:type="dxa"/>
            <w:tcBorders>
              <w:top w:val="single" w:color="000000" w:sz="4" w:space="0"/>
              <w:left w:val="nil"/>
              <w:bottom w:val="single" w:color="000000" w:sz="4" w:space="0"/>
              <w:right w:val="single" w:color="000000" w:sz="4" w:space="0"/>
            </w:tcBorders>
          </w:tcPr>
          <w:p>
            <w:pPr>
              <w:pStyle w:val="31"/>
              <w:spacing w:before="62"/>
              <w:ind w:left="16"/>
              <w:rPr>
                <w:rFonts w:cs="Times New Roman"/>
                <w:sz w:val="21"/>
                <w:szCs w:val="21"/>
              </w:rPr>
            </w:pPr>
            <w:r>
              <w:rPr>
                <w:rFonts w:hint="eastAsia" w:cs="Times New Roman"/>
                <w:sz w:val="21"/>
                <w:szCs w:val="21"/>
              </w:rPr>
              <w:t>当年扩招招生数</w:t>
            </w:r>
          </w:p>
        </w:tc>
        <w:tc>
          <w:tcPr>
            <w:tcW w:w="708" w:type="dxa"/>
            <w:tcBorders>
              <w:top w:val="single" w:color="000000" w:sz="4" w:space="0"/>
              <w:left w:val="nil"/>
              <w:bottom w:val="single" w:color="000000" w:sz="4" w:space="0"/>
              <w:right w:val="single" w:color="000000" w:sz="4" w:space="0"/>
            </w:tcBorders>
          </w:tcPr>
          <w:p>
            <w:pPr>
              <w:pStyle w:val="31"/>
              <w:spacing w:before="62"/>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4"/>
              <w:ind w:left="314"/>
              <w:rPr>
                <w:rFonts w:cs="Times New Roman"/>
                <w:sz w:val="21"/>
                <w:szCs w:val="21"/>
              </w:rPr>
            </w:pPr>
            <w:r>
              <w:rPr>
                <w:rFonts w:hint="eastAsia" w:cs="Times New Roman"/>
                <w:sz w:val="21"/>
                <w:szCs w:val="21"/>
              </w:rPr>
              <w:t>规模结构</w:t>
            </w:r>
          </w:p>
        </w:tc>
        <w:tc>
          <w:tcPr>
            <w:tcW w:w="595" w:type="dxa"/>
            <w:vMerge w:val="restart"/>
            <w:tcBorders>
              <w:top w:val="nil"/>
              <w:left w:val="nil"/>
              <w:bottom w:val="single" w:color="000000" w:sz="4" w:space="0"/>
              <w:right w:val="single" w:color="000000" w:sz="4" w:space="0"/>
            </w:tcBorders>
            <w:vAlign w:val="center"/>
          </w:tcPr>
          <w:p>
            <w:pPr>
              <w:pStyle w:val="31"/>
              <w:jc w:val="center"/>
              <w:rPr>
                <w:sz w:val="21"/>
                <w:szCs w:val="21"/>
              </w:rPr>
            </w:pPr>
          </w:p>
          <w:p>
            <w:pPr>
              <w:pStyle w:val="31"/>
              <w:jc w:val="center"/>
              <w:rPr>
                <w:sz w:val="21"/>
                <w:szCs w:val="21"/>
              </w:rPr>
            </w:pPr>
          </w:p>
          <w:p>
            <w:pPr>
              <w:pStyle w:val="31"/>
              <w:spacing w:before="9"/>
              <w:jc w:val="center"/>
              <w:rPr>
                <w:sz w:val="21"/>
                <w:szCs w:val="21"/>
              </w:rPr>
            </w:pPr>
          </w:p>
          <w:p>
            <w:pPr>
              <w:pStyle w:val="31"/>
              <w:ind w:left="225" w:right="-15"/>
              <w:jc w:val="center"/>
              <w:rPr>
                <w:rFonts w:cs="Times New Roman"/>
                <w:sz w:val="21"/>
                <w:szCs w:val="21"/>
              </w:rPr>
            </w:pPr>
            <w:r>
              <w:rPr>
                <w:rFonts w:hint="eastAsia" w:cs="Times New Roman"/>
                <w:sz w:val="21"/>
                <w:szCs w:val="21"/>
              </w:rPr>
              <w:t>139</w:t>
            </w:r>
          </w:p>
        </w:tc>
        <w:tc>
          <w:tcPr>
            <w:tcW w:w="3872" w:type="dxa"/>
            <w:tcBorders>
              <w:top w:val="single" w:color="000000" w:sz="4" w:space="0"/>
              <w:left w:val="nil"/>
              <w:bottom w:val="single" w:color="000000" w:sz="4" w:space="0"/>
              <w:right w:val="single" w:color="000000" w:sz="4" w:space="0"/>
            </w:tcBorders>
          </w:tcPr>
          <w:p>
            <w:pPr>
              <w:pStyle w:val="31"/>
              <w:spacing w:before="62"/>
              <w:ind w:left="16"/>
              <w:rPr>
                <w:rFonts w:cs="Times New Roman"/>
                <w:sz w:val="21"/>
                <w:szCs w:val="21"/>
              </w:rPr>
            </w:pPr>
            <w:r>
              <w:rPr>
                <w:rFonts w:hint="eastAsia" w:cs="Times New Roman"/>
                <w:sz w:val="21"/>
                <w:szCs w:val="21"/>
              </w:rPr>
              <w:t>当年扩招学生中社会考生数</w:t>
            </w:r>
          </w:p>
        </w:tc>
        <w:tc>
          <w:tcPr>
            <w:tcW w:w="708" w:type="dxa"/>
            <w:tcBorders>
              <w:top w:val="single" w:color="000000" w:sz="4" w:space="0"/>
              <w:left w:val="nil"/>
              <w:bottom w:val="single" w:color="000000" w:sz="4" w:space="0"/>
              <w:right w:val="single" w:color="000000" w:sz="4" w:space="0"/>
            </w:tcBorders>
          </w:tcPr>
          <w:p>
            <w:pPr>
              <w:pStyle w:val="31"/>
              <w:spacing w:before="62"/>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62"/>
              <w:ind w:left="636"/>
              <w:rPr>
                <w:rFonts w:cs="Times New Roman"/>
                <w:sz w:val="21"/>
                <w:szCs w:val="21"/>
              </w:rPr>
            </w:pPr>
            <w:r>
              <w:rPr>
                <w:rFonts w:hint="eastAsia" w:cs="Times New Roman"/>
                <w:sz w:val="21"/>
                <w:szCs w:val="21"/>
              </w:rPr>
              <w:t>其中：退役军人招生数</w:t>
            </w:r>
          </w:p>
        </w:tc>
        <w:tc>
          <w:tcPr>
            <w:tcW w:w="708" w:type="dxa"/>
            <w:tcBorders>
              <w:top w:val="single" w:color="000000" w:sz="4" w:space="0"/>
              <w:left w:val="nil"/>
              <w:bottom w:val="single" w:color="000000" w:sz="4" w:space="0"/>
              <w:right w:val="single" w:color="000000" w:sz="4" w:space="0"/>
            </w:tcBorders>
          </w:tcPr>
          <w:p>
            <w:pPr>
              <w:pStyle w:val="31"/>
              <w:spacing w:before="62"/>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62"/>
              <w:ind w:left="1284"/>
              <w:rPr>
                <w:rFonts w:cs="Times New Roman"/>
                <w:sz w:val="21"/>
                <w:szCs w:val="21"/>
              </w:rPr>
            </w:pPr>
            <w:r>
              <w:rPr>
                <w:rFonts w:hint="eastAsia" w:cs="Times New Roman"/>
                <w:sz w:val="21"/>
                <w:szCs w:val="21"/>
              </w:rPr>
              <w:t>下岗失业人员招生数</w:t>
            </w:r>
          </w:p>
        </w:tc>
        <w:tc>
          <w:tcPr>
            <w:tcW w:w="708" w:type="dxa"/>
            <w:tcBorders>
              <w:top w:val="single" w:color="000000" w:sz="4" w:space="0"/>
              <w:left w:val="nil"/>
              <w:bottom w:val="single" w:color="000000" w:sz="4" w:space="0"/>
              <w:right w:val="single" w:color="000000" w:sz="4" w:space="0"/>
            </w:tcBorders>
          </w:tcPr>
          <w:p>
            <w:pPr>
              <w:pStyle w:val="31"/>
              <w:spacing w:before="62"/>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62"/>
              <w:ind w:left="1284"/>
              <w:rPr>
                <w:rFonts w:cs="Times New Roman"/>
                <w:sz w:val="21"/>
                <w:szCs w:val="21"/>
              </w:rPr>
            </w:pPr>
            <w:r>
              <w:rPr>
                <w:rFonts w:hint="eastAsia" w:cs="Times New Roman"/>
                <w:sz w:val="21"/>
                <w:szCs w:val="21"/>
              </w:rPr>
              <w:t>农民工招生数</w:t>
            </w:r>
          </w:p>
        </w:tc>
        <w:tc>
          <w:tcPr>
            <w:tcW w:w="708" w:type="dxa"/>
            <w:tcBorders>
              <w:top w:val="single" w:color="000000" w:sz="4" w:space="0"/>
              <w:left w:val="nil"/>
              <w:bottom w:val="single" w:color="000000" w:sz="4" w:space="0"/>
              <w:right w:val="single" w:color="000000" w:sz="4" w:space="0"/>
            </w:tcBorders>
          </w:tcPr>
          <w:p>
            <w:pPr>
              <w:pStyle w:val="31"/>
              <w:spacing w:before="62"/>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62"/>
              <w:ind w:left="1284"/>
              <w:rPr>
                <w:rFonts w:cs="Times New Roman"/>
                <w:sz w:val="21"/>
                <w:szCs w:val="21"/>
              </w:rPr>
            </w:pPr>
            <w:r>
              <w:rPr>
                <w:rFonts w:hint="eastAsia" w:cs="Times New Roman"/>
                <w:sz w:val="21"/>
                <w:szCs w:val="21"/>
              </w:rPr>
              <w:t>新型职业农民招生数</w:t>
            </w:r>
          </w:p>
        </w:tc>
        <w:tc>
          <w:tcPr>
            <w:tcW w:w="708" w:type="dxa"/>
            <w:tcBorders>
              <w:top w:val="single" w:color="000000" w:sz="4" w:space="0"/>
              <w:left w:val="nil"/>
              <w:bottom w:val="single" w:color="000000" w:sz="4" w:space="0"/>
              <w:right w:val="single" w:color="000000" w:sz="4" w:space="0"/>
            </w:tcBorders>
          </w:tcPr>
          <w:p>
            <w:pPr>
              <w:pStyle w:val="31"/>
              <w:spacing w:before="62"/>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96"/>
              <w:ind w:left="494"/>
              <w:rPr>
                <w:rFonts w:cs="Times New Roman"/>
                <w:sz w:val="21"/>
                <w:szCs w:val="21"/>
              </w:rPr>
            </w:pPr>
            <w:r>
              <w:rPr>
                <w:rFonts w:hint="eastAsia" w:cs="Times New Roman"/>
                <w:sz w:val="21"/>
                <w:szCs w:val="21"/>
              </w:rPr>
              <w:t>5.1.2</w:t>
            </w:r>
          </w:p>
          <w:p>
            <w:pPr>
              <w:pStyle w:val="31"/>
              <w:spacing w:before="5"/>
              <w:ind w:left="554" w:right="127" w:hanging="541"/>
              <w:rPr>
                <w:rFonts w:cs="Times New Roman"/>
                <w:sz w:val="21"/>
                <w:szCs w:val="21"/>
              </w:rPr>
            </w:pPr>
            <w:r>
              <w:rPr>
                <w:rFonts w:hint="eastAsia" w:cs="Times New Roman"/>
                <w:spacing w:val="-3"/>
                <w:sz w:val="21"/>
                <w:szCs w:val="21"/>
              </w:rPr>
              <w:t>确保“质量型</w:t>
            </w:r>
            <w:r>
              <w:rPr>
                <w:rFonts w:hint="eastAsia" w:cs="Times New Roman"/>
                <w:sz w:val="21"/>
                <w:szCs w:val="21"/>
              </w:rPr>
              <w:t>扩招</w:t>
            </w:r>
          </w:p>
        </w:tc>
        <w:tc>
          <w:tcPr>
            <w:tcW w:w="595" w:type="dxa"/>
            <w:tcBorders>
              <w:top w:val="single" w:color="000000" w:sz="4" w:space="0"/>
              <w:left w:val="nil"/>
              <w:bottom w:val="single" w:color="000000" w:sz="4" w:space="0"/>
              <w:right w:val="single" w:color="000000" w:sz="4" w:space="0"/>
            </w:tcBorders>
            <w:vAlign w:val="center"/>
          </w:tcPr>
          <w:p>
            <w:pPr>
              <w:pStyle w:val="31"/>
              <w:spacing w:before="62"/>
              <w:ind w:right="-15"/>
              <w:jc w:val="center"/>
              <w:rPr>
                <w:rFonts w:cs="Times New Roman"/>
                <w:sz w:val="21"/>
                <w:szCs w:val="21"/>
              </w:rPr>
            </w:pPr>
            <w:r>
              <w:rPr>
                <w:rFonts w:hint="eastAsia" w:cs="Times New Roman"/>
                <w:sz w:val="21"/>
                <w:szCs w:val="21"/>
              </w:rPr>
              <w:t>140</w:t>
            </w:r>
          </w:p>
        </w:tc>
        <w:tc>
          <w:tcPr>
            <w:tcW w:w="3872" w:type="dxa"/>
            <w:tcBorders>
              <w:top w:val="single" w:color="000000" w:sz="4" w:space="0"/>
              <w:left w:val="nil"/>
              <w:bottom w:val="single" w:color="000000" w:sz="4" w:space="0"/>
              <w:right w:val="single" w:color="000000" w:sz="4" w:space="0"/>
            </w:tcBorders>
          </w:tcPr>
          <w:p>
            <w:pPr>
              <w:pStyle w:val="31"/>
              <w:spacing w:before="62"/>
              <w:ind w:left="16"/>
              <w:rPr>
                <w:rFonts w:cs="Times New Roman"/>
                <w:sz w:val="21"/>
                <w:szCs w:val="21"/>
              </w:rPr>
            </w:pPr>
            <w:r>
              <w:rPr>
                <w:rFonts w:hint="eastAsia" w:cs="Times New Roman"/>
                <w:spacing w:val="-21"/>
                <w:sz w:val="21"/>
                <w:szCs w:val="21"/>
              </w:rPr>
              <w:t>单独制定社会考生专业人才培养方案个数</w:t>
            </w:r>
          </w:p>
        </w:tc>
        <w:tc>
          <w:tcPr>
            <w:tcW w:w="708" w:type="dxa"/>
            <w:tcBorders>
              <w:top w:val="single" w:color="000000" w:sz="4" w:space="0"/>
              <w:left w:val="nil"/>
              <w:bottom w:val="single" w:color="000000" w:sz="4" w:space="0"/>
              <w:right w:val="single" w:color="000000" w:sz="4" w:space="0"/>
            </w:tcBorders>
          </w:tcPr>
          <w:p>
            <w:pPr>
              <w:pStyle w:val="31"/>
              <w:spacing w:before="62"/>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6</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62"/>
              <w:ind w:right="-15"/>
              <w:jc w:val="center"/>
              <w:rPr>
                <w:rFonts w:cs="Times New Roman"/>
                <w:sz w:val="21"/>
                <w:szCs w:val="21"/>
              </w:rPr>
            </w:pPr>
            <w:r>
              <w:rPr>
                <w:rFonts w:hint="eastAsia" w:cs="Times New Roman"/>
                <w:sz w:val="21"/>
                <w:szCs w:val="21"/>
              </w:rPr>
              <w:t>141</w:t>
            </w:r>
          </w:p>
        </w:tc>
        <w:tc>
          <w:tcPr>
            <w:tcW w:w="3872" w:type="dxa"/>
            <w:tcBorders>
              <w:top w:val="single" w:color="000000" w:sz="4" w:space="0"/>
              <w:left w:val="nil"/>
              <w:bottom w:val="single" w:color="000000" w:sz="4" w:space="0"/>
              <w:right w:val="single" w:color="000000" w:sz="4" w:space="0"/>
            </w:tcBorders>
          </w:tcPr>
          <w:p>
            <w:pPr>
              <w:pStyle w:val="31"/>
              <w:spacing w:before="62"/>
              <w:ind w:left="16"/>
              <w:rPr>
                <w:rFonts w:cs="Times New Roman"/>
                <w:sz w:val="21"/>
                <w:szCs w:val="21"/>
              </w:rPr>
            </w:pPr>
            <w:r>
              <w:rPr>
                <w:rFonts w:hint="eastAsia" w:cs="Times New Roman"/>
                <w:sz w:val="21"/>
                <w:szCs w:val="21"/>
              </w:rPr>
              <w:t>单独为扩招配备设施设备总额</w:t>
            </w:r>
          </w:p>
        </w:tc>
        <w:tc>
          <w:tcPr>
            <w:tcW w:w="708" w:type="dxa"/>
            <w:tcBorders>
              <w:top w:val="single" w:color="000000" w:sz="4" w:space="0"/>
              <w:left w:val="nil"/>
              <w:bottom w:val="single" w:color="000000" w:sz="4" w:space="0"/>
              <w:right w:val="single" w:color="000000" w:sz="4" w:space="0"/>
            </w:tcBorders>
          </w:tcPr>
          <w:p>
            <w:pPr>
              <w:pStyle w:val="31"/>
              <w:spacing w:before="62"/>
              <w:ind w:left="95" w:right="83"/>
              <w:jc w:val="center"/>
              <w:rPr>
                <w:rFonts w:cs="Times New Roman"/>
                <w:sz w:val="21"/>
                <w:szCs w:val="21"/>
              </w:rPr>
            </w:pPr>
            <w:r>
              <w:rPr>
                <w:rFonts w:hint="eastAsia" w:cs="Times New Roman"/>
                <w:sz w:val="21"/>
                <w:szCs w:val="21"/>
              </w:rPr>
              <w:t>万元</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62"/>
              <w:ind w:right="-15"/>
              <w:jc w:val="center"/>
              <w:rPr>
                <w:rFonts w:cs="Times New Roman"/>
                <w:sz w:val="21"/>
                <w:szCs w:val="21"/>
              </w:rPr>
            </w:pPr>
            <w:r>
              <w:rPr>
                <w:rFonts w:hint="eastAsia" w:cs="Times New Roman"/>
                <w:sz w:val="21"/>
                <w:szCs w:val="21"/>
              </w:rPr>
              <w:t>142</w:t>
            </w:r>
          </w:p>
        </w:tc>
        <w:tc>
          <w:tcPr>
            <w:tcW w:w="3872" w:type="dxa"/>
            <w:tcBorders>
              <w:top w:val="single" w:color="000000" w:sz="4" w:space="0"/>
              <w:left w:val="nil"/>
              <w:bottom w:val="single" w:color="000000" w:sz="4" w:space="0"/>
              <w:right w:val="single" w:color="000000" w:sz="4" w:space="0"/>
            </w:tcBorders>
          </w:tcPr>
          <w:p>
            <w:pPr>
              <w:pStyle w:val="31"/>
              <w:spacing w:before="62"/>
              <w:ind w:left="16"/>
              <w:rPr>
                <w:rFonts w:cs="Times New Roman"/>
                <w:sz w:val="21"/>
                <w:szCs w:val="21"/>
              </w:rPr>
            </w:pPr>
            <w:r>
              <w:rPr>
                <w:rFonts w:hint="eastAsia" w:cs="Times New Roman"/>
                <w:sz w:val="21"/>
                <w:szCs w:val="21"/>
              </w:rPr>
              <w:t>单独为扩招配备专兼职教师数</w:t>
            </w:r>
          </w:p>
        </w:tc>
        <w:tc>
          <w:tcPr>
            <w:tcW w:w="708" w:type="dxa"/>
            <w:tcBorders>
              <w:top w:val="single" w:color="000000" w:sz="4" w:space="0"/>
              <w:left w:val="nil"/>
              <w:bottom w:val="single" w:color="000000" w:sz="4" w:space="0"/>
              <w:right w:val="single" w:color="000000" w:sz="4" w:space="0"/>
            </w:tcBorders>
          </w:tcPr>
          <w:p>
            <w:pPr>
              <w:pStyle w:val="31"/>
              <w:spacing w:before="62"/>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0"/>
              <w:rPr>
                <w:sz w:val="21"/>
                <w:szCs w:val="21"/>
              </w:rPr>
            </w:pPr>
          </w:p>
          <w:p>
            <w:pPr>
              <w:pStyle w:val="31"/>
              <w:ind w:left="72" w:right="67"/>
              <w:jc w:val="center"/>
              <w:rPr>
                <w:rFonts w:cs="Times New Roman"/>
                <w:sz w:val="21"/>
                <w:szCs w:val="21"/>
              </w:rPr>
            </w:pPr>
            <w:r>
              <w:rPr>
                <w:rFonts w:hint="eastAsia" w:cs="Times New Roman"/>
                <w:sz w:val="21"/>
                <w:szCs w:val="21"/>
              </w:rPr>
              <w:t>5.2.1</w:t>
            </w:r>
          </w:p>
          <w:p>
            <w:pPr>
              <w:pStyle w:val="31"/>
              <w:spacing w:before="5"/>
              <w:ind w:left="10" w:right="5"/>
              <w:jc w:val="center"/>
              <w:rPr>
                <w:rFonts w:cs="Times New Roman"/>
                <w:sz w:val="21"/>
                <w:szCs w:val="21"/>
              </w:rPr>
            </w:pPr>
            <w:r>
              <w:rPr>
                <w:rFonts w:hint="eastAsia" w:cs="Times New Roman"/>
                <w:sz w:val="21"/>
                <w:szCs w:val="21"/>
              </w:rPr>
              <w:t>提升培训能力</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143</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当年开发重点领域典型培训项目数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144</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当年校企共建高水平培训基地数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3</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1</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145</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同时承担学历教育和培训任务的“双岗”教师占专业课教师比例</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r>
              <w:rPr>
                <w:sz w:val="21"/>
                <w:szCs w:val="21"/>
              </w:rPr>
              <w:t>5</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4</w:t>
            </w:r>
            <w:r>
              <w:rPr>
                <w:sz w:val="21"/>
                <w:szCs w:val="21"/>
              </w:rPr>
              <w:t>9</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6"/>
              <w:ind w:left="72" w:right="67"/>
              <w:jc w:val="center"/>
              <w:rPr>
                <w:rFonts w:cs="Times New Roman"/>
                <w:sz w:val="21"/>
                <w:szCs w:val="21"/>
              </w:rPr>
            </w:pPr>
            <w:r>
              <w:rPr>
                <w:rFonts w:hint="eastAsia" w:cs="Times New Roman"/>
                <w:sz w:val="21"/>
                <w:szCs w:val="21"/>
              </w:rPr>
              <w:t>5.2.2</w:t>
            </w:r>
          </w:p>
          <w:p>
            <w:pPr>
              <w:pStyle w:val="31"/>
              <w:spacing w:before="2"/>
              <w:ind w:left="10" w:right="5"/>
              <w:jc w:val="center"/>
              <w:rPr>
                <w:rFonts w:cs="Times New Roman"/>
                <w:sz w:val="21"/>
                <w:szCs w:val="21"/>
              </w:rPr>
            </w:pPr>
            <w:r>
              <w:rPr>
                <w:rFonts w:hint="eastAsia" w:cs="Times New Roman"/>
                <w:sz w:val="21"/>
                <w:szCs w:val="21"/>
              </w:rPr>
              <w:t>扩大培训规模</w:t>
            </w:r>
          </w:p>
        </w:tc>
        <w:tc>
          <w:tcPr>
            <w:tcW w:w="595" w:type="dxa"/>
            <w:vMerge w:val="restart"/>
            <w:tcBorders>
              <w:top w:val="nil"/>
              <w:left w:val="nil"/>
              <w:bottom w:val="single" w:color="000000" w:sz="4" w:space="0"/>
              <w:right w:val="single" w:color="000000" w:sz="4" w:space="0"/>
            </w:tcBorders>
            <w:vAlign w:val="center"/>
          </w:tcPr>
          <w:p>
            <w:pPr>
              <w:pStyle w:val="31"/>
              <w:spacing w:before="191"/>
              <w:ind w:left="225" w:right="-15"/>
              <w:jc w:val="center"/>
              <w:rPr>
                <w:rFonts w:cs="Times New Roman"/>
                <w:sz w:val="21"/>
                <w:szCs w:val="21"/>
              </w:rPr>
            </w:pPr>
            <w:r>
              <w:rPr>
                <w:rFonts w:hint="eastAsia" w:cs="Times New Roman"/>
                <w:sz w:val="21"/>
                <w:szCs w:val="21"/>
              </w:rPr>
              <w:t>146</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当年开展高质量职业培训总人数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76</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417"/>
              <w:rPr>
                <w:rFonts w:cs="Times New Roman"/>
                <w:sz w:val="21"/>
                <w:szCs w:val="21"/>
              </w:rPr>
            </w:pPr>
            <w:r>
              <w:rPr>
                <w:rFonts w:hint="eastAsia" w:cs="Times New Roman"/>
                <w:sz w:val="21"/>
                <w:szCs w:val="21"/>
              </w:rPr>
              <w:t>其中，承担补贴性培训人数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211"/>
              <w:ind w:left="72" w:right="67"/>
              <w:jc w:val="center"/>
              <w:rPr>
                <w:rFonts w:cs="Times New Roman"/>
                <w:sz w:val="21"/>
                <w:szCs w:val="21"/>
              </w:rPr>
            </w:pPr>
            <w:r>
              <w:rPr>
                <w:rFonts w:hint="eastAsia" w:cs="Times New Roman"/>
                <w:sz w:val="21"/>
                <w:szCs w:val="21"/>
              </w:rPr>
              <w:t>5.3.1</w:t>
            </w:r>
          </w:p>
          <w:p>
            <w:pPr>
              <w:pStyle w:val="31"/>
              <w:spacing w:before="2"/>
              <w:ind w:left="10" w:right="5"/>
              <w:jc w:val="center"/>
              <w:rPr>
                <w:rFonts w:cs="Times New Roman"/>
                <w:sz w:val="21"/>
                <w:szCs w:val="21"/>
              </w:rPr>
            </w:pPr>
            <w:r>
              <w:rPr>
                <w:rFonts w:hint="eastAsia" w:cs="Times New Roman"/>
                <w:sz w:val="21"/>
                <w:szCs w:val="21"/>
              </w:rPr>
              <w:t>服务乡村振兴</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147</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开设涉农专业数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148</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当年参与乡村产业建设项目数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项</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149</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当年参与乡村文化建设项目数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项</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3"/>
              <w:ind w:left="72" w:right="67"/>
              <w:jc w:val="center"/>
              <w:rPr>
                <w:rFonts w:cs="Times New Roman"/>
                <w:sz w:val="21"/>
                <w:szCs w:val="21"/>
              </w:rPr>
            </w:pPr>
            <w:r>
              <w:rPr>
                <w:rFonts w:hint="eastAsia" w:cs="Times New Roman"/>
                <w:sz w:val="21"/>
                <w:szCs w:val="21"/>
              </w:rPr>
              <w:t>5.3.2</w:t>
            </w:r>
          </w:p>
          <w:p>
            <w:pPr>
              <w:pStyle w:val="31"/>
              <w:spacing w:before="5"/>
              <w:ind w:left="14" w:right="5"/>
              <w:jc w:val="center"/>
              <w:rPr>
                <w:rFonts w:cs="Times New Roman"/>
                <w:sz w:val="21"/>
                <w:szCs w:val="21"/>
              </w:rPr>
            </w:pPr>
            <w:r>
              <w:rPr>
                <w:rFonts w:hint="eastAsia" w:cs="Times New Roman"/>
                <w:spacing w:val="-20"/>
                <w:sz w:val="21"/>
                <w:szCs w:val="21"/>
              </w:rPr>
              <w:t>服务《中国制造</w:t>
            </w:r>
            <w:r>
              <w:rPr>
                <w:rFonts w:hint="eastAsia" w:cs="Times New Roman"/>
                <w:sz w:val="21"/>
                <w:szCs w:val="21"/>
              </w:rPr>
              <w:t>2025》</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150</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服务《中国制造 2025》的专业数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151</w:t>
            </w:r>
          </w:p>
        </w:tc>
        <w:tc>
          <w:tcPr>
            <w:tcW w:w="3872" w:type="dxa"/>
            <w:tcBorders>
              <w:top w:val="single" w:color="000000" w:sz="4" w:space="0"/>
              <w:left w:val="nil"/>
              <w:bottom w:val="single" w:color="000000" w:sz="4" w:space="0"/>
              <w:right w:val="single" w:color="000000" w:sz="4" w:space="0"/>
            </w:tcBorders>
          </w:tcPr>
          <w:p>
            <w:pPr>
              <w:pStyle w:val="31"/>
              <w:spacing w:before="12" w:line="310" w:lineRule="atLeast"/>
              <w:ind w:left="16"/>
              <w:rPr>
                <w:rFonts w:cs="Times New Roman"/>
                <w:sz w:val="21"/>
                <w:szCs w:val="21"/>
              </w:rPr>
            </w:pPr>
            <w:r>
              <w:rPr>
                <w:rFonts w:hint="eastAsia" w:cs="Times New Roman"/>
                <w:spacing w:val="-12"/>
                <w:sz w:val="21"/>
                <w:szCs w:val="21"/>
              </w:rPr>
              <w:t xml:space="preserve">当年为《中国制造 </w:t>
            </w:r>
            <w:r>
              <w:rPr>
                <w:rFonts w:hint="eastAsia" w:cs="Times New Roman"/>
                <w:sz w:val="21"/>
                <w:szCs w:val="21"/>
              </w:rPr>
              <w:t>2025</w:t>
            </w:r>
            <w:r>
              <w:rPr>
                <w:rFonts w:hint="eastAsia" w:cs="Times New Roman"/>
                <w:spacing w:val="-9"/>
                <w:sz w:val="21"/>
                <w:szCs w:val="21"/>
              </w:rPr>
              <w:t>》输送高技能</w:t>
            </w:r>
            <w:r>
              <w:rPr>
                <w:rFonts w:hint="eastAsia" w:cs="Times New Roman"/>
                <w:sz w:val="21"/>
                <w:szCs w:val="21"/>
              </w:rPr>
              <w:t>人才数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36"/>
              <w:ind w:left="72" w:right="67"/>
              <w:jc w:val="center"/>
              <w:rPr>
                <w:rFonts w:cs="Times New Roman"/>
                <w:sz w:val="21"/>
                <w:szCs w:val="21"/>
              </w:rPr>
            </w:pPr>
            <w:r>
              <w:rPr>
                <w:rFonts w:hint="eastAsia" w:cs="Times New Roman"/>
                <w:sz w:val="21"/>
                <w:szCs w:val="21"/>
              </w:rPr>
              <w:t>5.4.1</w:t>
            </w:r>
          </w:p>
          <w:p>
            <w:pPr>
              <w:pStyle w:val="31"/>
              <w:spacing w:before="4"/>
              <w:ind w:left="74" w:right="67"/>
              <w:jc w:val="center"/>
              <w:rPr>
                <w:rFonts w:cs="Times New Roman"/>
                <w:sz w:val="21"/>
                <w:szCs w:val="21"/>
              </w:rPr>
            </w:pPr>
            <w:r>
              <w:rPr>
                <w:rFonts w:hint="eastAsia" w:cs="Times New Roman"/>
                <w:sz w:val="21"/>
                <w:szCs w:val="21"/>
              </w:rPr>
              <w:t>服务“三高四新”战略</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4" w:lineRule="exact"/>
              <w:ind w:right="-15"/>
              <w:jc w:val="center"/>
              <w:rPr>
                <w:rFonts w:cs="Times New Roman"/>
                <w:sz w:val="21"/>
                <w:szCs w:val="21"/>
              </w:rPr>
            </w:pPr>
            <w:r>
              <w:rPr>
                <w:rFonts w:hint="eastAsia" w:cs="Times New Roman"/>
                <w:sz w:val="21"/>
                <w:szCs w:val="21"/>
              </w:rPr>
              <w:t>152</w:t>
            </w:r>
          </w:p>
        </w:tc>
        <w:tc>
          <w:tcPr>
            <w:tcW w:w="3872" w:type="dxa"/>
            <w:tcBorders>
              <w:top w:val="single" w:color="000000" w:sz="4" w:space="0"/>
              <w:left w:val="nil"/>
              <w:bottom w:val="single" w:color="000000" w:sz="4" w:space="0"/>
              <w:right w:val="single" w:color="000000" w:sz="4" w:space="0"/>
            </w:tcBorders>
          </w:tcPr>
          <w:p>
            <w:pPr>
              <w:pStyle w:val="31"/>
              <w:spacing w:before="16" w:line="304" w:lineRule="exact"/>
              <w:ind w:left="16"/>
              <w:rPr>
                <w:rFonts w:cs="Times New Roman"/>
                <w:sz w:val="21"/>
                <w:szCs w:val="21"/>
              </w:rPr>
            </w:pPr>
            <w:r>
              <w:rPr>
                <w:rFonts w:hint="eastAsia" w:cs="Times New Roman"/>
                <w:sz w:val="21"/>
                <w:szCs w:val="21"/>
              </w:rPr>
              <w:t>服务“三个高地”的专业数</w:t>
            </w:r>
          </w:p>
        </w:tc>
        <w:tc>
          <w:tcPr>
            <w:tcW w:w="708" w:type="dxa"/>
            <w:tcBorders>
              <w:top w:val="single" w:color="000000" w:sz="4" w:space="0"/>
              <w:left w:val="nil"/>
              <w:bottom w:val="single" w:color="000000" w:sz="4" w:space="0"/>
              <w:right w:val="single" w:color="000000" w:sz="4" w:space="0"/>
            </w:tcBorders>
          </w:tcPr>
          <w:p>
            <w:pPr>
              <w:pStyle w:val="31"/>
              <w:spacing w:before="16" w:line="304"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2"/>
              <w:ind w:right="-15"/>
              <w:jc w:val="center"/>
              <w:rPr>
                <w:rFonts w:cs="Times New Roman"/>
                <w:sz w:val="21"/>
                <w:szCs w:val="21"/>
              </w:rPr>
            </w:pPr>
            <w:r>
              <w:rPr>
                <w:rFonts w:hint="eastAsia" w:cs="Times New Roman"/>
                <w:sz w:val="21"/>
                <w:szCs w:val="21"/>
              </w:rPr>
              <w:t>153</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w w:val="90"/>
                <w:sz w:val="21"/>
                <w:szCs w:val="21"/>
              </w:rPr>
              <w:t>当年为“三个高地”输送高技能人才数</w:t>
            </w:r>
          </w:p>
        </w:tc>
        <w:tc>
          <w:tcPr>
            <w:tcW w:w="708" w:type="dxa"/>
            <w:tcBorders>
              <w:top w:val="single" w:color="000000" w:sz="4" w:space="0"/>
              <w:left w:val="nil"/>
              <w:bottom w:val="single" w:color="000000" w:sz="4" w:space="0"/>
              <w:right w:val="single" w:color="000000" w:sz="4" w:space="0"/>
            </w:tcBorders>
          </w:tcPr>
          <w:p>
            <w:pPr>
              <w:pStyle w:val="31"/>
              <w:spacing w:before="172"/>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0"/>
              <w:rPr>
                <w:sz w:val="21"/>
                <w:szCs w:val="21"/>
              </w:rPr>
            </w:pPr>
          </w:p>
          <w:p>
            <w:pPr>
              <w:pStyle w:val="31"/>
              <w:ind w:left="72" w:right="67"/>
              <w:jc w:val="center"/>
              <w:rPr>
                <w:rFonts w:cs="Times New Roman"/>
                <w:sz w:val="21"/>
                <w:szCs w:val="21"/>
              </w:rPr>
            </w:pPr>
            <w:r>
              <w:rPr>
                <w:rFonts w:hint="eastAsia" w:cs="Times New Roman"/>
                <w:sz w:val="21"/>
                <w:szCs w:val="21"/>
              </w:rPr>
              <w:t>5.4.2</w:t>
            </w:r>
          </w:p>
          <w:p>
            <w:pPr>
              <w:pStyle w:val="31"/>
              <w:spacing w:before="5"/>
              <w:ind w:left="74" w:right="67"/>
              <w:jc w:val="center"/>
              <w:rPr>
                <w:rFonts w:cs="Times New Roman"/>
                <w:sz w:val="21"/>
                <w:szCs w:val="21"/>
              </w:rPr>
            </w:pPr>
            <w:r>
              <w:rPr>
                <w:rFonts w:hint="eastAsia" w:cs="Times New Roman"/>
                <w:spacing w:val="-3"/>
                <w:sz w:val="21"/>
                <w:szCs w:val="21"/>
              </w:rPr>
              <w:t>服务新兴优势</w:t>
            </w:r>
            <w:r>
              <w:rPr>
                <w:rFonts w:hint="eastAsia" w:cs="Times New Roman"/>
                <w:sz w:val="21"/>
                <w:szCs w:val="21"/>
              </w:rPr>
              <w:t>产业链</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154</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服务新兴优势产业的专业数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155</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w w:val="90"/>
                <w:sz w:val="21"/>
                <w:szCs w:val="21"/>
              </w:rPr>
            </w:pPr>
            <w:r>
              <w:rPr>
                <w:rFonts w:hint="eastAsia" w:cs="Times New Roman"/>
                <w:w w:val="90"/>
                <w:sz w:val="21"/>
                <w:szCs w:val="21"/>
              </w:rPr>
              <w:t>当年为新兴优势产业输送高技能人才数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156</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当年为新兴优势产业提供技术服务项目数</w:t>
            </w:r>
          </w:p>
        </w:tc>
        <w:tc>
          <w:tcPr>
            <w:tcW w:w="708" w:type="dxa"/>
            <w:tcBorders>
              <w:top w:val="single" w:color="000000" w:sz="4" w:space="0"/>
              <w:left w:val="nil"/>
              <w:bottom w:val="single" w:color="000000" w:sz="4" w:space="0"/>
              <w:right w:val="single" w:color="000000" w:sz="4" w:space="0"/>
            </w:tcBorders>
          </w:tcPr>
          <w:p>
            <w:pPr>
              <w:pStyle w:val="31"/>
              <w:spacing w:before="170"/>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7"/>
              <w:rPr>
                <w:sz w:val="21"/>
                <w:szCs w:val="21"/>
              </w:rPr>
            </w:pPr>
          </w:p>
          <w:p>
            <w:pPr>
              <w:pStyle w:val="31"/>
              <w:ind w:left="72" w:right="67"/>
              <w:jc w:val="center"/>
              <w:rPr>
                <w:rFonts w:cs="Times New Roman"/>
                <w:sz w:val="21"/>
                <w:szCs w:val="21"/>
              </w:rPr>
            </w:pPr>
            <w:r>
              <w:rPr>
                <w:rFonts w:hint="eastAsia" w:cs="Times New Roman"/>
                <w:sz w:val="21"/>
                <w:szCs w:val="21"/>
              </w:rPr>
              <w:t>5.4.3</w:t>
            </w:r>
          </w:p>
          <w:p>
            <w:pPr>
              <w:pStyle w:val="31"/>
              <w:spacing w:before="5"/>
              <w:ind w:left="10" w:right="5"/>
              <w:jc w:val="center"/>
              <w:rPr>
                <w:rFonts w:cs="Times New Roman"/>
                <w:sz w:val="21"/>
                <w:szCs w:val="21"/>
              </w:rPr>
            </w:pPr>
            <w:r>
              <w:rPr>
                <w:rFonts w:hint="eastAsia" w:cs="Times New Roman"/>
                <w:sz w:val="21"/>
                <w:szCs w:val="21"/>
              </w:rPr>
              <w:t>服务行业企业</w:t>
            </w: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157</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校企共建研发中心数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 w:line="306" w:lineRule="exact"/>
              <w:ind w:right="-15"/>
              <w:jc w:val="center"/>
              <w:rPr>
                <w:rFonts w:cs="Times New Roman"/>
                <w:sz w:val="21"/>
                <w:szCs w:val="21"/>
              </w:rPr>
            </w:pPr>
            <w:r>
              <w:rPr>
                <w:rFonts w:hint="eastAsia" w:cs="Times New Roman"/>
                <w:sz w:val="21"/>
                <w:szCs w:val="21"/>
              </w:rPr>
              <w:t>158</w:t>
            </w:r>
          </w:p>
        </w:tc>
        <w:tc>
          <w:tcPr>
            <w:tcW w:w="3872" w:type="dxa"/>
            <w:tcBorders>
              <w:top w:val="single" w:color="000000" w:sz="4" w:space="0"/>
              <w:left w:val="nil"/>
              <w:bottom w:val="single" w:color="000000" w:sz="4" w:space="0"/>
              <w:right w:val="single" w:color="000000" w:sz="4" w:space="0"/>
            </w:tcBorders>
          </w:tcPr>
          <w:p>
            <w:pPr>
              <w:pStyle w:val="31"/>
              <w:spacing w:before="17" w:line="306" w:lineRule="exact"/>
              <w:ind w:left="16"/>
              <w:rPr>
                <w:rFonts w:cs="Times New Roman"/>
                <w:sz w:val="21"/>
                <w:szCs w:val="21"/>
              </w:rPr>
            </w:pPr>
            <w:r>
              <w:rPr>
                <w:rFonts w:hint="eastAsia" w:cs="Times New Roman"/>
                <w:sz w:val="21"/>
                <w:szCs w:val="21"/>
              </w:rPr>
              <w:t>校企共建企业员工培训中心数</w:t>
            </w:r>
          </w:p>
        </w:tc>
        <w:tc>
          <w:tcPr>
            <w:tcW w:w="708" w:type="dxa"/>
            <w:tcBorders>
              <w:top w:val="single" w:color="000000" w:sz="4" w:space="0"/>
              <w:left w:val="nil"/>
              <w:bottom w:val="single" w:color="000000" w:sz="4" w:space="0"/>
              <w:right w:val="single" w:color="000000" w:sz="4" w:space="0"/>
            </w:tcBorders>
          </w:tcPr>
          <w:p>
            <w:pPr>
              <w:pStyle w:val="31"/>
              <w:spacing w:before="17"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159</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当年毕业生在中小微企业就业人数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9</w:t>
            </w:r>
            <w:r>
              <w:rPr>
                <w:sz w:val="21"/>
                <w:szCs w:val="21"/>
              </w:rPr>
              <w:t>56</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1</w:t>
            </w:r>
            <w:r>
              <w:rPr>
                <w:sz w:val="21"/>
                <w:szCs w:val="21"/>
              </w:rPr>
              <w:t>522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160</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当年培训企业员工数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人</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942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198</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0"/>
              <w:rPr>
                <w:sz w:val="21"/>
                <w:szCs w:val="21"/>
              </w:rPr>
            </w:pPr>
          </w:p>
          <w:p>
            <w:pPr>
              <w:pStyle w:val="31"/>
              <w:ind w:left="72" w:right="67"/>
              <w:jc w:val="center"/>
              <w:rPr>
                <w:rFonts w:cs="Times New Roman"/>
                <w:sz w:val="21"/>
                <w:szCs w:val="21"/>
              </w:rPr>
            </w:pPr>
            <w:r>
              <w:rPr>
                <w:rFonts w:hint="eastAsia" w:cs="Times New Roman"/>
                <w:sz w:val="21"/>
                <w:szCs w:val="21"/>
              </w:rPr>
              <w:t>5.4.4</w:t>
            </w:r>
          </w:p>
          <w:p>
            <w:pPr>
              <w:pStyle w:val="31"/>
              <w:spacing w:before="5"/>
              <w:ind w:left="72" w:right="67"/>
              <w:jc w:val="center"/>
              <w:rPr>
                <w:rFonts w:cs="Times New Roman"/>
                <w:sz w:val="21"/>
                <w:szCs w:val="21"/>
              </w:rPr>
            </w:pPr>
            <w:r>
              <w:rPr>
                <w:rFonts w:hint="eastAsia" w:cs="Times New Roman"/>
                <w:sz w:val="21"/>
                <w:szCs w:val="21"/>
              </w:rPr>
              <w:t>服务社区</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161</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当年培训社区居民数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95" w:right="83"/>
              <w:jc w:val="center"/>
              <w:rPr>
                <w:rFonts w:cs="Times New Roman"/>
                <w:sz w:val="21"/>
                <w:szCs w:val="21"/>
              </w:rPr>
            </w:pPr>
            <w:r>
              <w:rPr>
                <w:rFonts w:hint="eastAsia" w:cs="Times New Roman"/>
                <w:sz w:val="21"/>
                <w:szCs w:val="21"/>
              </w:rPr>
              <w:t>人次</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70"/>
              <w:ind w:right="-15"/>
              <w:jc w:val="center"/>
              <w:rPr>
                <w:rFonts w:cs="Times New Roman"/>
                <w:sz w:val="21"/>
                <w:szCs w:val="21"/>
              </w:rPr>
            </w:pPr>
            <w:r>
              <w:rPr>
                <w:rFonts w:hint="eastAsia" w:cs="Times New Roman"/>
                <w:sz w:val="21"/>
                <w:szCs w:val="21"/>
              </w:rPr>
              <w:t>162</w:t>
            </w:r>
          </w:p>
        </w:tc>
        <w:tc>
          <w:tcPr>
            <w:tcW w:w="3872" w:type="dxa"/>
            <w:tcBorders>
              <w:top w:val="single" w:color="000000" w:sz="4" w:space="0"/>
              <w:left w:val="nil"/>
              <w:bottom w:val="single" w:color="000000" w:sz="4" w:space="0"/>
              <w:right w:val="single" w:color="000000" w:sz="4" w:space="0"/>
            </w:tcBorders>
          </w:tcPr>
          <w:p>
            <w:pPr>
              <w:pStyle w:val="31"/>
              <w:spacing w:before="11" w:line="310" w:lineRule="atLeast"/>
              <w:ind w:left="16" w:right="1"/>
              <w:rPr>
                <w:rFonts w:cs="Times New Roman"/>
                <w:sz w:val="21"/>
                <w:szCs w:val="21"/>
              </w:rPr>
            </w:pPr>
            <w:r>
              <w:rPr>
                <w:rFonts w:hint="eastAsia" w:cs="Times New Roman"/>
                <w:sz w:val="21"/>
                <w:szCs w:val="21"/>
              </w:rPr>
              <w:t>当年学校文体场所每周向社区居民开放时间</w:t>
            </w:r>
          </w:p>
        </w:tc>
        <w:tc>
          <w:tcPr>
            <w:tcW w:w="708" w:type="dxa"/>
            <w:tcBorders>
              <w:top w:val="single" w:color="000000" w:sz="4" w:space="0"/>
              <w:left w:val="nil"/>
              <w:bottom w:val="single" w:color="000000" w:sz="4" w:space="0"/>
              <w:right w:val="single" w:color="000000" w:sz="4" w:space="0"/>
            </w:tcBorders>
          </w:tcPr>
          <w:p>
            <w:pPr>
              <w:pStyle w:val="31"/>
              <w:spacing w:before="170"/>
              <w:ind w:left="95" w:right="83"/>
              <w:jc w:val="center"/>
              <w:rPr>
                <w:rFonts w:cs="Times New Roman"/>
                <w:sz w:val="21"/>
                <w:szCs w:val="21"/>
              </w:rPr>
            </w:pPr>
            <w:r>
              <w:rPr>
                <w:rFonts w:hint="eastAsia" w:cs="Times New Roman"/>
                <w:sz w:val="21"/>
                <w:szCs w:val="21"/>
              </w:rPr>
              <w:t>小时</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r>
              <w:rPr>
                <w:rFonts w:hint="eastAsia"/>
                <w:sz w:val="21"/>
                <w:szCs w:val="21"/>
              </w:rPr>
              <w:t>疫情期间暂停开放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163</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当年与社区共同开展文化活动</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次</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r>
              <w:rPr>
                <w:rFonts w:hint="eastAsia"/>
                <w:sz w:val="21"/>
                <w:szCs w:val="21"/>
              </w:rPr>
              <w:t>疫情期间暂停开放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2"/>
              <w:rPr>
                <w:sz w:val="21"/>
                <w:szCs w:val="21"/>
              </w:rPr>
            </w:pPr>
          </w:p>
          <w:p>
            <w:pPr>
              <w:pStyle w:val="31"/>
              <w:spacing w:before="1"/>
              <w:ind w:left="72" w:right="67"/>
              <w:jc w:val="center"/>
              <w:rPr>
                <w:rFonts w:cs="Times New Roman"/>
                <w:sz w:val="21"/>
                <w:szCs w:val="21"/>
              </w:rPr>
            </w:pPr>
            <w:r>
              <w:rPr>
                <w:rFonts w:hint="eastAsia" w:cs="Times New Roman"/>
                <w:sz w:val="21"/>
                <w:szCs w:val="21"/>
              </w:rPr>
              <w:t>5.5.1</w:t>
            </w:r>
          </w:p>
          <w:p>
            <w:pPr>
              <w:pStyle w:val="31"/>
              <w:spacing w:before="4"/>
              <w:ind w:left="74" w:right="67"/>
              <w:jc w:val="center"/>
              <w:rPr>
                <w:rFonts w:cs="Times New Roman"/>
                <w:sz w:val="21"/>
                <w:szCs w:val="21"/>
              </w:rPr>
            </w:pPr>
            <w:r>
              <w:rPr>
                <w:rFonts w:hint="eastAsia" w:cs="Times New Roman"/>
                <w:spacing w:val="-3"/>
                <w:sz w:val="21"/>
                <w:szCs w:val="21"/>
              </w:rPr>
              <w:t>共建技术创新</w:t>
            </w:r>
            <w:r>
              <w:rPr>
                <w:rFonts w:hint="eastAsia" w:cs="Times New Roman"/>
                <w:sz w:val="21"/>
                <w:szCs w:val="21"/>
              </w:rPr>
              <w:t>平台</w:t>
            </w:r>
          </w:p>
        </w:tc>
        <w:tc>
          <w:tcPr>
            <w:tcW w:w="595" w:type="dxa"/>
            <w:vMerge w:val="restart"/>
            <w:tcBorders>
              <w:top w:val="nil"/>
              <w:left w:val="nil"/>
              <w:bottom w:val="single" w:color="000000" w:sz="4" w:space="0"/>
              <w:right w:val="single" w:color="000000" w:sz="4" w:space="0"/>
            </w:tcBorders>
            <w:vAlign w:val="center"/>
          </w:tcPr>
          <w:p>
            <w:pPr>
              <w:pStyle w:val="31"/>
              <w:jc w:val="center"/>
              <w:rPr>
                <w:sz w:val="21"/>
                <w:szCs w:val="21"/>
              </w:rPr>
            </w:pPr>
          </w:p>
          <w:p>
            <w:pPr>
              <w:pStyle w:val="31"/>
              <w:jc w:val="center"/>
              <w:rPr>
                <w:sz w:val="21"/>
                <w:szCs w:val="21"/>
              </w:rPr>
            </w:pPr>
          </w:p>
          <w:p>
            <w:pPr>
              <w:pStyle w:val="31"/>
              <w:spacing w:before="165"/>
              <w:ind w:left="225" w:right="-15"/>
              <w:jc w:val="center"/>
              <w:rPr>
                <w:rFonts w:cs="Times New Roman"/>
                <w:sz w:val="21"/>
                <w:szCs w:val="21"/>
              </w:rPr>
            </w:pPr>
            <w:r>
              <w:rPr>
                <w:rFonts w:hint="eastAsia" w:cs="Times New Roman"/>
                <w:sz w:val="21"/>
                <w:szCs w:val="21"/>
              </w:rPr>
              <w:t>164</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累计校企共建技术创新平台数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417"/>
              <w:rPr>
                <w:rFonts w:cs="Times New Roman"/>
                <w:sz w:val="21"/>
                <w:szCs w:val="21"/>
              </w:rPr>
            </w:pPr>
            <w:r>
              <w:rPr>
                <w:rFonts w:hint="eastAsia" w:cs="Times New Roman"/>
                <w:sz w:val="21"/>
                <w:szCs w:val="21"/>
              </w:rPr>
              <w:t>其中：应用技术协同创新中心数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284"/>
              <w:rPr>
                <w:rFonts w:cs="Times New Roman"/>
                <w:sz w:val="21"/>
                <w:szCs w:val="21"/>
              </w:rPr>
            </w:pPr>
            <w:r>
              <w:rPr>
                <w:rFonts w:hint="eastAsia" w:cs="Times New Roman"/>
                <w:sz w:val="21"/>
                <w:szCs w:val="21"/>
              </w:rPr>
              <w:t>院士工作站</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284"/>
              <w:rPr>
                <w:rFonts w:cs="Times New Roman"/>
                <w:sz w:val="21"/>
                <w:szCs w:val="21"/>
              </w:rPr>
            </w:pPr>
            <w:r>
              <w:rPr>
                <w:rFonts w:hint="eastAsia" w:cs="Times New Roman"/>
                <w:sz w:val="21"/>
                <w:szCs w:val="21"/>
              </w:rPr>
              <w:t>众创空间数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2</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284"/>
              <w:rPr>
                <w:rFonts w:cs="Times New Roman"/>
                <w:sz w:val="21"/>
                <w:szCs w:val="21"/>
              </w:rPr>
            </w:pPr>
            <w:r>
              <w:rPr>
                <w:rFonts w:hint="eastAsia" w:cs="Times New Roman"/>
                <w:sz w:val="21"/>
                <w:szCs w:val="21"/>
              </w:rPr>
              <w:t>工程技术研究中心数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55"/>
              <w:ind w:left="72" w:right="67"/>
              <w:jc w:val="center"/>
              <w:rPr>
                <w:rFonts w:cs="Times New Roman"/>
                <w:sz w:val="21"/>
                <w:szCs w:val="21"/>
              </w:rPr>
            </w:pPr>
            <w:r>
              <w:rPr>
                <w:rFonts w:hint="eastAsia" w:cs="Times New Roman"/>
                <w:sz w:val="21"/>
                <w:szCs w:val="21"/>
              </w:rPr>
              <w:t>5.5.2</w:t>
            </w:r>
          </w:p>
          <w:p>
            <w:pPr>
              <w:pStyle w:val="31"/>
              <w:spacing w:before="4"/>
              <w:ind w:left="74" w:right="67"/>
              <w:jc w:val="center"/>
              <w:rPr>
                <w:rFonts w:cs="Times New Roman"/>
                <w:sz w:val="21"/>
                <w:szCs w:val="21"/>
              </w:rPr>
            </w:pPr>
            <w:r>
              <w:rPr>
                <w:rFonts w:hint="eastAsia" w:cs="Times New Roman"/>
                <w:spacing w:val="-3"/>
                <w:sz w:val="21"/>
                <w:szCs w:val="21"/>
              </w:rPr>
              <w:t>合作开展技术</w:t>
            </w:r>
            <w:r>
              <w:rPr>
                <w:rFonts w:hint="eastAsia" w:cs="Times New Roman"/>
                <w:sz w:val="21"/>
                <w:szCs w:val="21"/>
              </w:rPr>
              <w:t>攻关</w:t>
            </w:r>
          </w:p>
        </w:tc>
        <w:tc>
          <w:tcPr>
            <w:tcW w:w="595" w:type="dxa"/>
            <w:tcBorders>
              <w:top w:val="single" w:color="000000" w:sz="4" w:space="0"/>
              <w:left w:val="nil"/>
              <w:bottom w:val="single" w:color="000000" w:sz="4" w:space="0"/>
              <w:right w:val="single" w:color="000000" w:sz="4" w:space="0"/>
            </w:tcBorders>
            <w:vAlign w:val="center"/>
          </w:tcPr>
          <w:p>
            <w:pPr>
              <w:pStyle w:val="31"/>
              <w:spacing w:before="16" w:line="306" w:lineRule="exact"/>
              <w:ind w:right="-15"/>
              <w:jc w:val="center"/>
              <w:rPr>
                <w:rFonts w:cs="Times New Roman"/>
                <w:sz w:val="21"/>
                <w:szCs w:val="21"/>
              </w:rPr>
            </w:pPr>
            <w:r>
              <w:rPr>
                <w:rFonts w:hint="eastAsia" w:cs="Times New Roman"/>
                <w:sz w:val="21"/>
                <w:szCs w:val="21"/>
              </w:rPr>
              <w:t>165</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累计校企合作获得发明专利数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166</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累计校企合作攻克关键技术难题数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tcBorders>
              <w:top w:val="single" w:color="000000" w:sz="4" w:space="0"/>
              <w:left w:val="nil"/>
              <w:bottom w:val="single" w:color="000000" w:sz="4" w:space="0"/>
              <w:right w:val="single" w:color="000000" w:sz="4" w:space="0"/>
            </w:tcBorders>
            <w:vAlign w:val="center"/>
          </w:tcPr>
          <w:p>
            <w:pPr>
              <w:pStyle w:val="31"/>
              <w:spacing w:before="14" w:line="306" w:lineRule="exact"/>
              <w:ind w:right="-15"/>
              <w:jc w:val="center"/>
              <w:rPr>
                <w:rFonts w:cs="Times New Roman"/>
                <w:sz w:val="21"/>
                <w:szCs w:val="21"/>
              </w:rPr>
            </w:pPr>
            <w:r>
              <w:rPr>
                <w:rFonts w:hint="eastAsia" w:cs="Times New Roman"/>
                <w:sz w:val="21"/>
                <w:szCs w:val="21"/>
              </w:rPr>
              <w:t>167</w:t>
            </w:r>
          </w:p>
        </w:tc>
        <w:tc>
          <w:tcPr>
            <w:tcW w:w="3872" w:type="dxa"/>
            <w:tcBorders>
              <w:top w:val="single" w:color="000000" w:sz="4" w:space="0"/>
              <w:left w:val="nil"/>
              <w:bottom w:val="single" w:color="000000" w:sz="4" w:space="0"/>
              <w:right w:val="single" w:color="000000" w:sz="4" w:space="0"/>
            </w:tcBorders>
          </w:tcPr>
          <w:p>
            <w:pPr>
              <w:pStyle w:val="31"/>
              <w:spacing w:before="14" w:line="306" w:lineRule="exact"/>
              <w:ind w:left="16"/>
              <w:rPr>
                <w:rFonts w:cs="Times New Roman"/>
                <w:sz w:val="21"/>
                <w:szCs w:val="21"/>
              </w:rPr>
            </w:pPr>
            <w:r>
              <w:rPr>
                <w:rFonts w:hint="eastAsia" w:cs="Times New Roman"/>
                <w:sz w:val="21"/>
                <w:szCs w:val="21"/>
              </w:rPr>
              <w:t>累计校企合作研发重要新产品数</w:t>
            </w:r>
          </w:p>
        </w:tc>
        <w:tc>
          <w:tcPr>
            <w:tcW w:w="708" w:type="dxa"/>
            <w:tcBorders>
              <w:top w:val="single" w:color="000000" w:sz="4" w:space="0"/>
              <w:left w:val="nil"/>
              <w:bottom w:val="single" w:color="000000" w:sz="4" w:space="0"/>
              <w:right w:val="single" w:color="000000" w:sz="4" w:space="0"/>
            </w:tcBorders>
          </w:tcPr>
          <w:p>
            <w:pPr>
              <w:pStyle w:val="31"/>
              <w:spacing w:before="14"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94" w:type="dxa"/>
            <w:vMerge w:val="restart"/>
            <w:tcBorders>
              <w:top w:val="nil"/>
              <w:left w:val="single" w:color="000000" w:sz="4" w:space="0"/>
              <w:bottom w:val="single" w:color="000000" w:sz="4" w:space="0"/>
              <w:right w:val="single" w:color="000000" w:sz="4" w:space="0"/>
            </w:tcBorders>
          </w:tcPr>
          <w:p>
            <w:pPr>
              <w:pStyle w:val="31"/>
              <w:spacing w:before="16"/>
              <w:ind w:left="72" w:right="67"/>
              <w:jc w:val="center"/>
              <w:rPr>
                <w:rFonts w:cs="Times New Roman"/>
                <w:sz w:val="21"/>
                <w:szCs w:val="21"/>
              </w:rPr>
            </w:pPr>
            <w:r>
              <w:rPr>
                <w:rFonts w:hint="eastAsia" w:cs="Times New Roman"/>
                <w:sz w:val="21"/>
                <w:szCs w:val="21"/>
              </w:rPr>
              <w:t>5.5.3</w:t>
            </w:r>
          </w:p>
          <w:p>
            <w:pPr>
              <w:pStyle w:val="31"/>
              <w:spacing w:before="2"/>
              <w:ind w:left="10" w:right="5"/>
              <w:jc w:val="center"/>
              <w:rPr>
                <w:rFonts w:cs="Times New Roman"/>
                <w:sz w:val="21"/>
                <w:szCs w:val="21"/>
              </w:rPr>
            </w:pPr>
            <w:r>
              <w:rPr>
                <w:rFonts w:hint="eastAsia" w:cs="Times New Roman"/>
                <w:sz w:val="21"/>
                <w:szCs w:val="21"/>
              </w:rPr>
              <w:t>持续推进自科</w:t>
            </w:r>
          </w:p>
          <w:p>
            <w:pPr>
              <w:pStyle w:val="31"/>
              <w:spacing w:before="6" w:line="306" w:lineRule="exact"/>
              <w:ind w:left="10" w:right="5"/>
              <w:jc w:val="center"/>
              <w:rPr>
                <w:rFonts w:cs="Times New Roman"/>
                <w:sz w:val="21"/>
                <w:szCs w:val="21"/>
              </w:rPr>
            </w:pPr>
            <w:r>
              <w:rPr>
                <w:rFonts w:hint="eastAsia" w:cs="Times New Roman"/>
                <w:sz w:val="21"/>
                <w:szCs w:val="21"/>
              </w:rPr>
              <w:t>基金项目研究</w:t>
            </w:r>
          </w:p>
        </w:tc>
        <w:tc>
          <w:tcPr>
            <w:tcW w:w="595" w:type="dxa"/>
            <w:vMerge w:val="restart"/>
            <w:tcBorders>
              <w:top w:val="nil"/>
              <w:left w:val="nil"/>
              <w:bottom w:val="single" w:color="000000" w:sz="4" w:space="0"/>
              <w:right w:val="single" w:color="000000" w:sz="4" w:space="0"/>
            </w:tcBorders>
            <w:vAlign w:val="center"/>
          </w:tcPr>
          <w:p>
            <w:pPr>
              <w:pStyle w:val="31"/>
              <w:spacing w:before="4"/>
              <w:jc w:val="center"/>
              <w:rPr>
                <w:sz w:val="21"/>
                <w:szCs w:val="21"/>
              </w:rPr>
            </w:pPr>
          </w:p>
          <w:p>
            <w:pPr>
              <w:pStyle w:val="31"/>
              <w:ind w:left="225" w:right="-15"/>
              <w:jc w:val="center"/>
              <w:rPr>
                <w:rFonts w:cs="Times New Roman"/>
                <w:sz w:val="21"/>
                <w:szCs w:val="21"/>
              </w:rPr>
            </w:pPr>
            <w:r>
              <w:rPr>
                <w:rFonts w:hint="eastAsia" w:cs="Times New Roman"/>
                <w:sz w:val="21"/>
                <w:szCs w:val="21"/>
              </w:rPr>
              <w:t>168</w:t>
            </w:r>
          </w:p>
        </w:tc>
        <w:tc>
          <w:tcPr>
            <w:tcW w:w="3872" w:type="dxa"/>
            <w:tcBorders>
              <w:top w:val="single" w:color="000000" w:sz="4" w:space="0"/>
              <w:left w:val="nil"/>
              <w:bottom w:val="single" w:color="000000" w:sz="4" w:space="0"/>
              <w:right w:val="single" w:color="000000" w:sz="4" w:space="0"/>
            </w:tcBorders>
          </w:tcPr>
          <w:p>
            <w:pPr>
              <w:pStyle w:val="31"/>
              <w:spacing w:before="16" w:line="306" w:lineRule="exact"/>
              <w:ind w:left="16"/>
              <w:rPr>
                <w:rFonts w:cs="Times New Roman"/>
                <w:sz w:val="21"/>
                <w:szCs w:val="21"/>
              </w:rPr>
            </w:pPr>
            <w:r>
              <w:rPr>
                <w:rFonts w:hint="eastAsia" w:cs="Times New Roman"/>
                <w:sz w:val="21"/>
                <w:szCs w:val="21"/>
              </w:rPr>
              <w:t>立项自科基金项目数</w:t>
            </w:r>
          </w:p>
        </w:tc>
        <w:tc>
          <w:tcPr>
            <w:tcW w:w="708" w:type="dxa"/>
            <w:tcBorders>
              <w:top w:val="single" w:color="000000" w:sz="4" w:space="0"/>
              <w:left w:val="nil"/>
              <w:bottom w:val="single" w:color="000000" w:sz="4" w:space="0"/>
              <w:right w:val="single" w:color="000000" w:sz="4" w:space="0"/>
            </w:tcBorders>
          </w:tcPr>
          <w:p>
            <w:pPr>
              <w:pStyle w:val="31"/>
              <w:spacing w:before="16" w:line="306" w:lineRule="exact"/>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1594" w:type="dxa"/>
            <w:vMerge w:val="continue"/>
            <w:tcBorders>
              <w:top w:val="nil"/>
              <w:left w:val="single" w:color="000000" w:sz="4" w:space="0"/>
              <w:bottom w:val="single" w:color="000000" w:sz="4" w:space="0"/>
              <w:right w:val="single" w:color="000000" w:sz="4" w:space="0"/>
            </w:tcBorders>
            <w:vAlign w:val="center"/>
          </w:tcPr>
          <w:p>
            <w:pPr>
              <w:widowControl/>
              <w:rPr>
                <w:rFonts w:ascii="宋体" w:hAnsi="宋体" w:eastAsia="宋体"/>
                <w:sz w:val="21"/>
              </w:rPr>
            </w:pPr>
          </w:p>
        </w:tc>
        <w:tc>
          <w:tcPr>
            <w:tcW w:w="595" w:type="dxa"/>
            <w:vMerge w:val="continue"/>
            <w:tcBorders>
              <w:top w:val="nil"/>
              <w:left w:val="nil"/>
              <w:bottom w:val="single" w:color="000000" w:sz="4" w:space="0"/>
              <w:right w:val="single" w:color="000000" w:sz="4" w:space="0"/>
            </w:tcBorders>
            <w:vAlign w:val="center"/>
          </w:tcPr>
          <w:p>
            <w:pPr>
              <w:widowControl/>
              <w:jc w:val="center"/>
              <w:rPr>
                <w:rFonts w:ascii="宋体" w:hAnsi="宋体" w:eastAsia="宋体"/>
                <w:sz w:val="21"/>
              </w:rPr>
            </w:pPr>
          </w:p>
        </w:tc>
        <w:tc>
          <w:tcPr>
            <w:tcW w:w="3872" w:type="dxa"/>
            <w:tcBorders>
              <w:top w:val="single" w:color="000000" w:sz="4" w:space="0"/>
              <w:left w:val="nil"/>
              <w:bottom w:val="single" w:color="000000" w:sz="4" w:space="0"/>
              <w:right w:val="single" w:color="000000" w:sz="4" w:space="0"/>
            </w:tcBorders>
          </w:tcPr>
          <w:p>
            <w:pPr>
              <w:pStyle w:val="31"/>
              <w:spacing w:before="151"/>
              <w:ind w:left="559"/>
              <w:rPr>
                <w:rFonts w:cs="Times New Roman"/>
                <w:sz w:val="21"/>
                <w:szCs w:val="21"/>
              </w:rPr>
            </w:pPr>
            <w:r>
              <w:rPr>
                <w:rFonts w:hint="eastAsia" w:cs="Times New Roman"/>
                <w:sz w:val="21"/>
                <w:szCs w:val="21"/>
              </w:rPr>
              <w:t>其中：科教联合基金项目数</w:t>
            </w:r>
          </w:p>
        </w:tc>
        <w:tc>
          <w:tcPr>
            <w:tcW w:w="708" w:type="dxa"/>
            <w:tcBorders>
              <w:top w:val="single" w:color="000000" w:sz="4" w:space="0"/>
              <w:left w:val="nil"/>
              <w:bottom w:val="single" w:color="000000" w:sz="4" w:space="0"/>
              <w:right w:val="single" w:color="000000" w:sz="4" w:space="0"/>
            </w:tcBorders>
          </w:tcPr>
          <w:p>
            <w:pPr>
              <w:pStyle w:val="31"/>
              <w:spacing w:before="151"/>
              <w:ind w:left="12"/>
              <w:jc w:val="center"/>
              <w:rPr>
                <w:rFonts w:cs="Times New Roman"/>
                <w:sz w:val="21"/>
                <w:szCs w:val="21"/>
              </w:rPr>
            </w:pPr>
            <w:r>
              <w:rPr>
                <w:rFonts w:hint="eastAsia" w:cs="Times New Roman"/>
                <w:sz w:val="21"/>
                <w:szCs w:val="21"/>
              </w:rPr>
              <w:t>个</w:t>
            </w:r>
          </w:p>
        </w:tc>
        <w:tc>
          <w:tcPr>
            <w:tcW w:w="852"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814" w:type="dxa"/>
            <w:tcBorders>
              <w:top w:val="single" w:color="000000" w:sz="4" w:space="0"/>
              <w:left w:val="nil"/>
              <w:bottom w:val="single" w:color="000000" w:sz="4" w:space="0"/>
              <w:right w:val="single" w:color="000000" w:sz="4" w:space="0"/>
            </w:tcBorders>
            <w:vAlign w:val="center"/>
          </w:tcPr>
          <w:p>
            <w:pPr>
              <w:pStyle w:val="31"/>
              <w:jc w:val="center"/>
              <w:rPr>
                <w:sz w:val="21"/>
                <w:szCs w:val="21"/>
              </w:rPr>
            </w:pPr>
            <w:r>
              <w:rPr>
                <w:rFonts w:hint="eastAsia"/>
                <w:sz w:val="21"/>
                <w:szCs w:val="21"/>
              </w:rPr>
              <w:t>0</w:t>
            </w:r>
          </w:p>
        </w:tc>
        <w:tc>
          <w:tcPr>
            <w:tcW w:w="907" w:type="dxa"/>
            <w:tcBorders>
              <w:top w:val="single" w:color="000000" w:sz="4" w:space="0"/>
              <w:left w:val="nil"/>
              <w:bottom w:val="single" w:color="000000" w:sz="4" w:space="0"/>
              <w:right w:val="single" w:color="000000" w:sz="4" w:space="0"/>
            </w:tcBorders>
          </w:tcPr>
          <w:p>
            <w:pPr>
              <w:pStyle w:val="31"/>
              <w:rPr>
                <w:sz w:val="21"/>
                <w:szCs w:val="21"/>
              </w:rPr>
            </w:pPr>
          </w:p>
        </w:tc>
      </w:tr>
    </w:tbl>
    <w:p>
      <w:pPr>
        <w:autoSpaceDE w:val="0"/>
        <w:autoSpaceDN w:val="0"/>
        <w:spacing w:before="190"/>
        <w:ind w:left="936"/>
        <w:jc w:val="left"/>
        <w:rPr>
          <w:rFonts w:ascii="仿宋" w:hAnsi="仿宋"/>
          <w:szCs w:val="32"/>
        </w:rPr>
      </w:pPr>
    </w:p>
    <w:sectPr>
      <w:footerReference r:id="rId5" w:type="first"/>
      <w:footerReference r:id="rId4" w:type="default"/>
      <w:pgSz w:w="11906" w:h="16838"/>
      <w:pgMar w:top="1440" w:right="1800" w:bottom="1440" w:left="1800" w:header="851" w:footer="992" w:gutter="0"/>
      <w:pgNumType w:fmt="decimal" w:start="1"/>
      <w:cols w:space="425" w:num="1"/>
      <w:titlePg/>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6978C4-1F2A-4F70-B70E-192D5C45F8C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8391451-F80E-420B-B69F-95B3E4B90CDD}"/>
  </w:font>
  <w:font w:name="等线">
    <w:panose1 w:val="02010600030101010101"/>
    <w:charset w:val="86"/>
    <w:family w:val="auto"/>
    <w:pitch w:val="default"/>
    <w:sig w:usb0="A00002BF" w:usb1="38CF7CFA" w:usb2="00000016" w:usb3="00000000" w:csb0="0004000F" w:csb1="00000000"/>
    <w:embedRegular r:id="rId3" w:fontKey="{EB4B9A65-2878-4DC6-8F54-203A70805314}"/>
  </w:font>
  <w:font w:name="仿宋">
    <w:panose1 w:val="02010609060101010101"/>
    <w:charset w:val="86"/>
    <w:family w:val="modern"/>
    <w:pitch w:val="default"/>
    <w:sig w:usb0="800002BF" w:usb1="38CF7CFA" w:usb2="00000016" w:usb3="00000000" w:csb0="00040001" w:csb1="00000000"/>
    <w:embedRegular r:id="rId4" w:fontKey="{80C2C694-7CCE-4F03-92FB-CE0A0EF904F5}"/>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89E1A8C5-8ACD-46FA-8D1A-1A6A68F7165B}"/>
  </w:font>
  <w:font w:name="方正小标宋简体">
    <w:panose1 w:val="02000000000000000000"/>
    <w:charset w:val="86"/>
    <w:family w:val="script"/>
    <w:pitch w:val="default"/>
    <w:sig w:usb0="00000001" w:usb1="08000000" w:usb2="00000000" w:usb3="00000000" w:csb0="00040000" w:csb1="00000000"/>
    <w:embedRegular r:id="rId6" w:fontKey="{47675C09-FE73-419F-A3D4-3099C592DD55}"/>
  </w:font>
  <w:font w:name="楷体">
    <w:panose1 w:val="02010609060101010101"/>
    <w:charset w:val="86"/>
    <w:family w:val="modern"/>
    <w:pitch w:val="default"/>
    <w:sig w:usb0="800002BF" w:usb1="38CF7CFA" w:usb2="00000016" w:usb3="00000000" w:csb0="00040001" w:csb1="00000000"/>
    <w:embedRegular r:id="rId7" w:fontKey="{4D664C1C-FF6C-4901-A0F8-E5CEAE931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4749699"/>
      <w:docPartObj>
        <w:docPartGallery w:val="autotext"/>
      </w:docPartObj>
    </w:sdtPr>
    <w:sdtContent>
      <w:p>
        <w:pPr>
          <w:pStyle w:val="8"/>
          <w:rPr>
            <w:rFonts w:hint="eastAsia"/>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sdt>
      <w:sdtPr>
        <w:id w:val="2024749699"/>
        <w:docPartObj>
          <w:docPartGallery w:val="autotext"/>
        </w:docPartObj>
      </w:sdtP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5A8"/>
    <w:rsid w:val="00001445"/>
    <w:rsid w:val="00007403"/>
    <w:rsid w:val="00013392"/>
    <w:rsid w:val="00021A23"/>
    <w:rsid w:val="000245BE"/>
    <w:rsid w:val="00024604"/>
    <w:rsid w:val="00026C36"/>
    <w:rsid w:val="000462EE"/>
    <w:rsid w:val="00051EA3"/>
    <w:rsid w:val="0007319A"/>
    <w:rsid w:val="00087288"/>
    <w:rsid w:val="0008787A"/>
    <w:rsid w:val="000933C9"/>
    <w:rsid w:val="000B5637"/>
    <w:rsid w:val="000B6311"/>
    <w:rsid w:val="000C1BA4"/>
    <w:rsid w:val="000C4A1A"/>
    <w:rsid w:val="000D16C4"/>
    <w:rsid w:val="000D6610"/>
    <w:rsid w:val="000F7DAF"/>
    <w:rsid w:val="00103D76"/>
    <w:rsid w:val="00105119"/>
    <w:rsid w:val="001077E2"/>
    <w:rsid w:val="001129FA"/>
    <w:rsid w:val="001270B0"/>
    <w:rsid w:val="00132BC9"/>
    <w:rsid w:val="00150053"/>
    <w:rsid w:val="0015023A"/>
    <w:rsid w:val="00153FBB"/>
    <w:rsid w:val="0015516F"/>
    <w:rsid w:val="001711BF"/>
    <w:rsid w:val="00173E5F"/>
    <w:rsid w:val="0018029C"/>
    <w:rsid w:val="00190C3E"/>
    <w:rsid w:val="001934F1"/>
    <w:rsid w:val="001B0DF4"/>
    <w:rsid w:val="001B158D"/>
    <w:rsid w:val="001B2CAB"/>
    <w:rsid w:val="001B43AA"/>
    <w:rsid w:val="001B77DC"/>
    <w:rsid w:val="001C72C1"/>
    <w:rsid w:val="001E7324"/>
    <w:rsid w:val="001F4DAB"/>
    <w:rsid w:val="001F5B82"/>
    <w:rsid w:val="001F5CB2"/>
    <w:rsid w:val="002026D5"/>
    <w:rsid w:val="00225E0B"/>
    <w:rsid w:val="002347B1"/>
    <w:rsid w:val="002356AF"/>
    <w:rsid w:val="0025197B"/>
    <w:rsid w:val="002524BD"/>
    <w:rsid w:val="002666AD"/>
    <w:rsid w:val="00270E78"/>
    <w:rsid w:val="002724AD"/>
    <w:rsid w:val="00276493"/>
    <w:rsid w:val="0028072B"/>
    <w:rsid w:val="00282FEA"/>
    <w:rsid w:val="00283875"/>
    <w:rsid w:val="002912FD"/>
    <w:rsid w:val="002A75A8"/>
    <w:rsid w:val="002B0396"/>
    <w:rsid w:val="002B42F0"/>
    <w:rsid w:val="002B7ACD"/>
    <w:rsid w:val="002C21BD"/>
    <w:rsid w:val="002C2AC0"/>
    <w:rsid w:val="002C74BF"/>
    <w:rsid w:val="002D0A3E"/>
    <w:rsid w:val="002D4917"/>
    <w:rsid w:val="002D6EFC"/>
    <w:rsid w:val="002D73A5"/>
    <w:rsid w:val="002E00CD"/>
    <w:rsid w:val="002E04D7"/>
    <w:rsid w:val="002E1473"/>
    <w:rsid w:val="002E1573"/>
    <w:rsid w:val="002E4663"/>
    <w:rsid w:val="00300158"/>
    <w:rsid w:val="003016F6"/>
    <w:rsid w:val="003034EB"/>
    <w:rsid w:val="003053E2"/>
    <w:rsid w:val="0030590B"/>
    <w:rsid w:val="00313F35"/>
    <w:rsid w:val="003315A2"/>
    <w:rsid w:val="00337893"/>
    <w:rsid w:val="00344C0C"/>
    <w:rsid w:val="003461BA"/>
    <w:rsid w:val="003523BE"/>
    <w:rsid w:val="00374745"/>
    <w:rsid w:val="00376029"/>
    <w:rsid w:val="003844E2"/>
    <w:rsid w:val="0038458A"/>
    <w:rsid w:val="00386846"/>
    <w:rsid w:val="00387C31"/>
    <w:rsid w:val="003922F4"/>
    <w:rsid w:val="00394F34"/>
    <w:rsid w:val="003954BB"/>
    <w:rsid w:val="003A1FDF"/>
    <w:rsid w:val="003A4108"/>
    <w:rsid w:val="003A51BF"/>
    <w:rsid w:val="003A726F"/>
    <w:rsid w:val="003B196C"/>
    <w:rsid w:val="003B1ED4"/>
    <w:rsid w:val="003B2B80"/>
    <w:rsid w:val="003C07E5"/>
    <w:rsid w:val="003C1736"/>
    <w:rsid w:val="003C62A0"/>
    <w:rsid w:val="003D32FE"/>
    <w:rsid w:val="003D392B"/>
    <w:rsid w:val="003D789D"/>
    <w:rsid w:val="003E48E1"/>
    <w:rsid w:val="003E4DCA"/>
    <w:rsid w:val="003F2E77"/>
    <w:rsid w:val="003F6F7F"/>
    <w:rsid w:val="003F7A66"/>
    <w:rsid w:val="00414A6F"/>
    <w:rsid w:val="00414F1E"/>
    <w:rsid w:val="00432791"/>
    <w:rsid w:val="00432823"/>
    <w:rsid w:val="004345B7"/>
    <w:rsid w:val="004434A1"/>
    <w:rsid w:val="00444765"/>
    <w:rsid w:val="00447A2F"/>
    <w:rsid w:val="004540BE"/>
    <w:rsid w:val="00456F4C"/>
    <w:rsid w:val="00461C10"/>
    <w:rsid w:val="004626A0"/>
    <w:rsid w:val="004662B4"/>
    <w:rsid w:val="004706A8"/>
    <w:rsid w:val="00471D51"/>
    <w:rsid w:val="004729E5"/>
    <w:rsid w:val="004763A3"/>
    <w:rsid w:val="00481B91"/>
    <w:rsid w:val="00495B7C"/>
    <w:rsid w:val="004964B4"/>
    <w:rsid w:val="00497F7F"/>
    <w:rsid w:val="004A4B95"/>
    <w:rsid w:val="004B22EC"/>
    <w:rsid w:val="004B6D19"/>
    <w:rsid w:val="004B6E9B"/>
    <w:rsid w:val="004C5D51"/>
    <w:rsid w:val="004E1D5B"/>
    <w:rsid w:val="004F4D11"/>
    <w:rsid w:val="00516E07"/>
    <w:rsid w:val="00521C48"/>
    <w:rsid w:val="0052383D"/>
    <w:rsid w:val="00527CDD"/>
    <w:rsid w:val="00535356"/>
    <w:rsid w:val="0053769A"/>
    <w:rsid w:val="00537A1A"/>
    <w:rsid w:val="00553445"/>
    <w:rsid w:val="0055388D"/>
    <w:rsid w:val="00560BB8"/>
    <w:rsid w:val="0056285F"/>
    <w:rsid w:val="005632E3"/>
    <w:rsid w:val="00565E9A"/>
    <w:rsid w:val="005665E7"/>
    <w:rsid w:val="00570517"/>
    <w:rsid w:val="00583743"/>
    <w:rsid w:val="005843D5"/>
    <w:rsid w:val="005847F5"/>
    <w:rsid w:val="00590BCF"/>
    <w:rsid w:val="005931D6"/>
    <w:rsid w:val="005955F1"/>
    <w:rsid w:val="005A3630"/>
    <w:rsid w:val="005C1C1C"/>
    <w:rsid w:val="005C3215"/>
    <w:rsid w:val="005D0177"/>
    <w:rsid w:val="005D0BE6"/>
    <w:rsid w:val="005D7D31"/>
    <w:rsid w:val="005E1974"/>
    <w:rsid w:val="00602912"/>
    <w:rsid w:val="0060540C"/>
    <w:rsid w:val="00612B39"/>
    <w:rsid w:val="00617681"/>
    <w:rsid w:val="0062327A"/>
    <w:rsid w:val="0063494D"/>
    <w:rsid w:val="006444B1"/>
    <w:rsid w:val="00650908"/>
    <w:rsid w:val="006519A7"/>
    <w:rsid w:val="00672BE0"/>
    <w:rsid w:val="00672BFC"/>
    <w:rsid w:val="0067594A"/>
    <w:rsid w:val="006762B0"/>
    <w:rsid w:val="006846B8"/>
    <w:rsid w:val="006909CD"/>
    <w:rsid w:val="006B28D7"/>
    <w:rsid w:val="006B2E34"/>
    <w:rsid w:val="006B58F3"/>
    <w:rsid w:val="006C4356"/>
    <w:rsid w:val="006D465E"/>
    <w:rsid w:val="006D4904"/>
    <w:rsid w:val="006D67E5"/>
    <w:rsid w:val="006D6E88"/>
    <w:rsid w:val="006E126D"/>
    <w:rsid w:val="006E35BC"/>
    <w:rsid w:val="006E50AA"/>
    <w:rsid w:val="006F17BF"/>
    <w:rsid w:val="006F3850"/>
    <w:rsid w:val="006F626A"/>
    <w:rsid w:val="006F7CC8"/>
    <w:rsid w:val="007016D1"/>
    <w:rsid w:val="007144A9"/>
    <w:rsid w:val="00716B32"/>
    <w:rsid w:val="00720455"/>
    <w:rsid w:val="00724977"/>
    <w:rsid w:val="007258E7"/>
    <w:rsid w:val="007263D7"/>
    <w:rsid w:val="007464A2"/>
    <w:rsid w:val="007563C5"/>
    <w:rsid w:val="007646CC"/>
    <w:rsid w:val="00765AC3"/>
    <w:rsid w:val="00770549"/>
    <w:rsid w:val="007720CE"/>
    <w:rsid w:val="007835C6"/>
    <w:rsid w:val="007A7650"/>
    <w:rsid w:val="007B3F7D"/>
    <w:rsid w:val="007D030A"/>
    <w:rsid w:val="007D209E"/>
    <w:rsid w:val="007D468A"/>
    <w:rsid w:val="007D5332"/>
    <w:rsid w:val="007E447F"/>
    <w:rsid w:val="007F2314"/>
    <w:rsid w:val="007F4526"/>
    <w:rsid w:val="007F67A8"/>
    <w:rsid w:val="007F6D4E"/>
    <w:rsid w:val="00805AE8"/>
    <w:rsid w:val="00813AD9"/>
    <w:rsid w:val="008151B3"/>
    <w:rsid w:val="00815BC2"/>
    <w:rsid w:val="00833374"/>
    <w:rsid w:val="008410A1"/>
    <w:rsid w:val="008415AA"/>
    <w:rsid w:val="00843C70"/>
    <w:rsid w:val="0084464E"/>
    <w:rsid w:val="00852B7E"/>
    <w:rsid w:val="00854A6D"/>
    <w:rsid w:val="00855303"/>
    <w:rsid w:val="008622E9"/>
    <w:rsid w:val="008651DC"/>
    <w:rsid w:val="00865AE7"/>
    <w:rsid w:val="00872F85"/>
    <w:rsid w:val="00873510"/>
    <w:rsid w:val="008737EE"/>
    <w:rsid w:val="0087675F"/>
    <w:rsid w:val="00882BCA"/>
    <w:rsid w:val="00887684"/>
    <w:rsid w:val="00894EE7"/>
    <w:rsid w:val="008A4563"/>
    <w:rsid w:val="008D765E"/>
    <w:rsid w:val="008E2DC3"/>
    <w:rsid w:val="008E5D2F"/>
    <w:rsid w:val="008F3DFA"/>
    <w:rsid w:val="00901CBF"/>
    <w:rsid w:val="00903680"/>
    <w:rsid w:val="0090777E"/>
    <w:rsid w:val="00914F18"/>
    <w:rsid w:val="0092092B"/>
    <w:rsid w:val="0092139B"/>
    <w:rsid w:val="009227A1"/>
    <w:rsid w:val="00942BEE"/>
    <w:rsid w:val="00953F38"/>
    <w:rsid w:val="00962157"/>
    <w:rsid w:val="00964CEC"/>
    <w:rsid w:val="009730AD"/>
    <w:rsid w:val="00973F66"/>
    <w:rsid w:val="00984101"/>
    <w:rsid w:val="00997907"/>
    <w:rsid w:val="009A5EA2"/>
    <w:rsid w:val="009B6754"/>
    <w:rsid w:val="009B6F6F"/>
    <w:rsid w:val="009C2DF7"/>
    <w:rsid w:val="009C7F65"/>
    <w:rsid w:val="009D0EAD"/>
    <w:rsid w:val="009E31F5"/>
    <w:rsid w:val="00A1413A"/>
    <w:rsid w:val="00A177D1"/>
    <w:rsid w:val="00A3108E"/>
    <w:rsid w:val="00A34E55"/>
    <w:rsid w:val="00A366D5"/>
    <w:rsid w:val="00A44F2E"/>
    <w:rsid w:val="00A451F5"/>
    <w:rsid w:val="00A51C8A"/>
    <w:rsid w:val="00A54C08"/>
    <w:rsid w:val="00A57A93"/>
    <w:rsid w:val="00A80996"/>
    <w:rsid w:val="00AA34AA"/>
    <w:rsid w:val="00AA7DB9"/>
    <w:rsid w:val="00AC65C5"/>
    <w:rsid w:val="00AC7C1D"/>
    <w:rsid w:val="00AD13B5"/>
    <w:rsid w:val="00AD18DB"/>
    <w:rsid w:val="00AD6D19"/>
    <w:rsid w:val="00AE0F17"/>
    <w:rsid w:val="00AE1828"/>
    <w:rsid w:val="00AE2A51"/>
    <w:rsid w:val="00AE72BB"/>
    <w:rsid w:val="00AF3267"/>
    <w:rsid w:val="00B1158D"/>
    <w:rsid w:val="00B12CBD"/>
    <w:rsid w:val="00B1584C"/>
    <w:rsid w:val="00B16572"/>
    <w:rsid w:val="00B1714B"/>
    <w:rsid w:val="00B2193B"/>
    <w:rsid w:val="00B3663E"/>
    <w:rsid w:val="00B37953"/>
    <w:rsid w:val="00B4750F"/>
    <w:rsid w:val="00B53C4A"/>
    <w:rsid w:val="00B55AB5"/>
    <w:rsid w:val="00B66648"/>
    <w:rsid w:val="00B7428F"/>
    <w:rsid w:val="00B81335"/>
    <w:rsid w:val="00B87082"/>
    <w:rsid w:val="00B92562"/>
    <w:rsid w:val="00BA46A7"/>
    <w:rsid w:val="00BB47E7"/>
    <w:rsid w:val="00BB6EF5"/>
    <w:rsid w:val="00BC18C8"/>
    <w:rsid w:val="00BE1AF0"/>
    <w:rsid w:val="00BF083F"/>
    <w:rsid w:val="00BF4884"/>
    <w:rsid w:val="00BF6475"/>
    <w:rsid w:val="00BF7EF9"/>
    <w:rsid w:val="00C04A2F"/>
    <w:rsid w:val="00C1054C"/>
    <w:rsid w:val="00C12EE1"/>
    <w:rsid w:val="00C2716C"/>
    <w:rsid w:val="00C30DF5"/>
    <w:rsid w:val="00C3191B"/>
    <w:rsid w:val="00C338C0"/>
    <w:rsid w:val="00C353F7"/>
    <w:rsid w:val="00C3715C"/>
    <w:rsid w:val="00C60795"/>
    <w:rsid w:val="00C63964"/>
    <w:rsid w:val="00C71369"/>
    <w:rsid w:val="00C723A1"/>
    <w:rsid w:val="00C76F8F"/>
    <w:rsid w:val="00C845C0"/>
    <w:rsid w:val="00C94DF4"/>
    <w:rsid w:val="00CD3B84"/>
    <w:rsid w:val="00CE02DB"/>
    <w:rsid w:val="00CF1648"/>
    <w:rsid w:val="00D02434"/>
    <w:rsid w:val="00D04A8E"/>
    <w:rsid w:val="00D14388"/>
    <w:rsid w:val="00D21AFD"/>
    <w:rsid w:val="00D46FAD"/>
    <w:rsid w:val="00D51BBE"/>
    <w:rsid w:val="00D72F9E"/>
    <w:rsid w:val="00D80B79"/>
    <w:rsid w:val="00D837F0"/>
    <w:rsid w:val="00D8556F"/>
    <w:rsid w:val="00D86433"/>
    <w:rsid w:val="00D936E3"/>
    <w:rsid w:val="00D95D51"/>
    <w:rsid w:val="00DA1BF8"/>
    <w:rsid w:val="00DA4A20"/>
    <w:rsid w:val="00DB0597"/>
    <w:rsid w:val="00DB1B40"/>
    <w:rsid w:val="00DB32D9"/>
    <w:rsid w:val="00DB4BCC"/>
    <w:rsid w:val="00DB7A8D"/>
    <w:rsid w:val="00DC4A88"/>
    <w:rsid w:val="00DE1E4C"/>
    <w:rsid w:val="00E03BD9"/>
    <w:rsid w:val="00E2322F"/>
    <w:rsid w:val="00E364EF"/>
    <w:rsid w:val="00E44D28"/>
    <w:rsid w:val="00E467B1"/>
    <w:rsid w:val="00E615D3"/>
    <w:rsid w:val="00E63112"/>
    <w:rsid w:val="00E66656"/>
    <w:rsid w:val="00E707A7"/>
    <w:rsid w:val="00E807B3"/>
    <w:rsid w:val="00E81EF1"/>
    <w:rsid w:val="00E82D56"/>
    <w:rsid w:val="00E87CEF"/>
    <w:rsid w:val="00E918D8"/>
    <w:rsid w:val="00E94981"/>
    <w:rsid w:val="00E95E6C"/>
    <w:rsid w:val="00EA1350"/>
    <w:rsid w:val="00EA50F4"/>
    <w:rsid w:val="00EB4D5B"/>
    <w:rsid w:val="00EB5698"/>
    <w:rsid w:val="00ED00EB"/>
    <w:rsid w:val="00ED506D"/>
    <w:rsid w:val="00F00331"/>
    <w:rsid w:val="00F01FDC"/>
    <w:rsid w:val="00F142B1"/>
    <w:rsid w:val="00F24270"/>
    <w:rsid w:val="00F30D88"/>
    <w:rsid w:val="00F34EDF"/>
    <w:rsid w:val="00F549FD"/>
    <w:rsid w:val="00F6235B"/>
    <w:rsid w:val="00F70332"/>
    <w:rsid w:val="00F744E1"/>
    <w:rsid w:val="00F84AD8"/>
    <w:rsid w:val="00F86D79"/>
    <w:rsid w:val="00F9356F"/>
    <w:rsid w:val="00F955F5"/>
    <w:rsid w:val="00FA3254"/>
    <w:rsid w:val="00FA4523"/>
    <w:rsid w:val="00FB12CB"/>
    <w:rsid w:val="00FB2319"/>
    <w:rsid w:val="00FB584D"/>
    <w:rsid w:val="00FC25CF"/>
    <w:rsid w:val="00FD20D0"/>
    <w:rsid w:val="00FE5BCA"/>
    <w:rsid w:val="1457155D"/>
    <w:rsid w:val="566B4D0E"/>
    <w:rsid w:val="56E502A7"/>
    <w:rsid w:val="57103A21"/>
    <w:rsid w:val="6C101341"/>
    <w:rsid w:val="740C5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仿宋" w:cs="Times New Roman"/>
      <w:kern w:val="2"/>
      <w:sz w:val="32"/>
      <w:szCs w:val="21"/>
      <w:lang w:val="en-US" w:eastAsia="zh-CN" w:bidi="ar-SA"/>
    </w:rPr>
  </w:style>
  <w:style w:type="paragraph" w:styleId="2">
    <w:name w:val="heading 1"/>
    <w:basedOn w:val="1"/>
    <w:next w:val="1"/>
    <w:link w:val="18"/>
    <w:qFormat/>
    <w:uiPriority w:val="9"/>
    <w:pPr>
      <w:keepNext/>
      <w:keepLines/>
      <w:spacing w:before="340" w:after="330" w:line="360" w:lineRule="auto"/>
      <w:outlineLvl w:val="0"/>
    </w:pPr>
    <w:rPr>
      <w:rFonts w:eastAsia="黑体"/>
      <w:b/>
      <w:bCs/>
      <w:kern w:val="44"/>
      <w:sz w:val="36"/>
      <w:szCs w:val="44"/>
    </w:rPr>
  </w:style>
  <w:style w:type="paragraph" w:styleId="3">
    <w:name w:val="heading 2"/>
    <w:basedOn w:val="1"/>
    <w:next w:val="1"/>
    <w:link w:val="20"/>
    <w:unhideWhenUsed/>
    <w:qFormat/>
    <w:uiPriority w:val="9"/>
    <w:pPr>
      <w:keepNext/>
      <w:keepLines/>
      <w:spacing w:before="260" w:after="260" w:line="360" w:lineRule="auto"/>
      <w:outlineLvl w:val="1"/>
    </w:pPr>
    <w:rPr>
      <w:rFonts w:ascii="等线 Light" w:hAnsi="等线 Light"/>
      <w:b/>
      <w:bCs/>
      <w:szCs w:val="32"/>
    </w:rPr>
  </w:style>
  <w:style w:type="paragraph" w:styleId="4">
    <w:name w:val="heading 3"/>
    <w:basedOn w:val="1"/>
    <w:next w:val="1"/>
    <w:link w:val="21"/>
    <w:unhideWhenUsed/>
    <w:qFormat/>
    <w:uiPriority w:val="9"/>
    <w:pPr>
      <w:keepNext/>
      <w:keepLines/>
      <w:spacing w:before="260" w:after="260" w:line="360" w:lineRule="auto"/>
      <w:outlineLvl w:val="2"/>
    </w:pPr>
    <w:rPr>
      <w:b/>
      <w:bCs/>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30"/>
    <w:unhideWhenUsed/>
    <w:qFormat/>
    <w:uiPriority w:val="99"/>
    <w:pPr>
      <w:autoSpaceDE w:val="0"/>
      <w:autoSpaceDN w:val="0"/>
      <w:spacing w:before="190"/>
      <w:ind w:left="296"/>
      <w:jc w:val="left"/>
    </w:pPr>
    <w:rPr>
      <w:rFonts w:ascii="宋体" w:hAnsi="宋体" w:eastAsia="宋体" w:cs="宋体"/>
      <w:kern w:val="0"/>
      <w:szCs w:val="32"/>
    </w:rPr>
  </w:style>
  <w:style w:type="paragraph" w:styleId="7">
    <w:name w:val="toc 3"/>
    <w:basedOn w:val="1"/>
    <w:next w:val="1"/>
    <w:unhideWhenUsed/>
    <w:qFormat/>
    <w:uiPriority w:val="39"/>
    <w:pPr>
      <w:widowControl/>
      <w:spacing w:after="100" w:line="259" w:lineRule="auto"/>
      <w:ind w:left="440"/>
      <w:jc w:val="left"/>
    </w:pPr>
    <w:rPr>
      <w:rFonts w:eastAsia="等线"/>
      <w:kern w:val="0"/>
      <w:sz w:val="22"/>
      <w:szCs w:val="22"/>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eastAsia="等线"/>
      <w:kern w:val="0"/>
      <w:sz w:val="22"/>
      <w:szCs w:val="22"/>
    </w:rPr>
  </w:style>
  <w:style w:type="paragraph" w:styleId="11">
    <w:name w:val="toc 2"/>
    <w:basedOn w:val="1"/>
    <w:next w:val="1"/>
    <w:unhideWhenUsed/>
    <w:qFormat/>
    <w:uiPriority w:val="39"/>
    <w:pPr>
      <w:widowControl/>
      <w:spacing w:after="100" w:line="259" w:lineRule="auto"/>
      <w:ind w:left="220"/>
      <w:jc w:val="left"/>
    </w:pPr>
    <w:rPr>
      <w:rFonts w:eastAsia="等线"/>
      <w:kern w:val="0"/>
      <w:sz w:val="22"/>
      <w:szCs w:val="22"/>
    </w:rPr>
  </w:style>
  <w:style w:type="table" w:styleId="13">
    <w:name w:val="Table Grid"/>
    <w:basedOn w:val="12"/>
    <w:qFormat/>
    <w:uiPriority w:val="39"/>
    <w:pPr>
      <w:widowControl w:val="0"/>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页眉 字符"/>
    <w:link w:val="9"/>
    <w:qFormat/>
    <w:uiPriority w:val="99"/>
    <w:rPr>
      <w:sz w:val="18"/>
      <w:szCs w:val="18"/>
    </w:rPr>
  </w:style>
  <w:style w:type="character" w:customStyle="1" w:styleId="17">
    <w:name w:val="页脚 字符"/>
    <w:link w:val="8"/>
    <w:qFormat/>
    <w:uiPriority w:val="99"/>
    <w:rPr>
      <w:sz w:val="18"/>
      <w:szCs w:val="18"/>
    </w:rPr>
  </w:style>
  <w:style w:type="character" w:customStyle="1" w:styleId="18">
    <w:name w:val="标题 1 字符"/>
    <w:link w:val="2"/>
    <w:qFormat/>
    <w:uiPriority w:val="9"/>
    <w:rPr>
      <w:rFonts w:eastAsia="黑体"/>
      <w:b/>
      <w:bCs/>
      <w:kern w:val="44"/>
      <w:sz w:val="36"/>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20">
    <w:name w:val="标题 2 字符"/>
    <w:link w:val="3"/>
    <w:qFormat/>
    <w:uiPriority w:val="9"/>
    <w:rPr>
      <w:rFonts w:ascii="等线 Light" w:hAnsi="等线 Light" w:eastAsia="仿宋" w:cs="Times New Roman"/>
      <w:b/>
      <w:bCs/>
      <w:sz w:val="32"/>
      <w:szCs w:val="32"/>
    </w:rPr>
  </w:style>
  <w:style w:type="character" w:customStyle="1" w:styleId="21">
    <w:name w:val="标题 3 字符"/>
    <w:link w:val="4"/>
    <w:qFormat/>
    <w:uiPriority w:val="9"/>
    <w:rPr>
      <w:rFonts w:eastAsia="仿宋"/>
      <w:b/>
      <w:bCs/>
      <w:sz w:val="32"/>
      <w:szCs w:val="32"/>
    </w:rPr>
  </w:style>
  <w:style w:type="character" w:customStyle="1" w:styleId="22">
    <w:name w:val="标题 4 字符"/>
    <w:link w:val="5"/>
    <w:qFormat/>
    <w:uiPriority w:val="9"/>
    <w:rPr>
      <w:rFonts w:ascii="等线 Light" w:hAnsi="等线 Light" w:eastAsia="等线 Light" w:cs="Times New Roman"/>
      <w:b/>
      <w:bCs/>
      <w:sz w:val="28"/>
      <w:szCs w:val="28"/>
    </w:rPr>
  </w:style>
  <w:style w:type="table" w:customStyle="1" w:styleId="23">
    <w:name w:val="网格型1"/>
    <w:basedOn w:val="12"/>
    <w:qFormat/>
    <w:uiPriority w:val="99"/>
    <w:pPr>
      <w:widowControl w:val="0"/>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网格型2"/>
    <w:basedOn w:val="12"/>
    <w:qFormat/>
    <w:uiPriority w:val="99"/>
    <w:pPr>
      <w:widowControl w:val="0"/>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Grid Table 4 Accent 5"/>
    <w:basedOn w:val="12"/>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26">
    <w:name w:val="Grid Table 4 Accent 1"/>
    <w:basedOn w:val="12"/>
    <w:qFormat/>
    <w:uiPriority w:val="49"/>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27">
    <w:name w:val="Grid Table 1 Light"/>
    <w:basedOn w:val="12"/>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paragraph" w:styleId="28">
    <w:name w:val="List Paragraph"/>
    <w:basedOn w:val="1"/>
    <w:qFormat/>
    <w:uiPriority w:val="34"/>
    <w:pPr>
      <w:ind w:firstLine="420" w:firstLineChars="200"/>
    </w:pPr>
  </w:style>
  <w:style w:type="paragraph" w:customStyle="1" w:styleId="29">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0">
    <w:name w:val="正文文本 字符"/>
    <w:basedOn w:val="14"/>
    <w:link w:val="6"/>
    <w:qFormat/>
    <w:uiPriority w:val="99"/>
    <w:rPr>
      <w:rFonts w:ascii="宋体" w:hAnsi="宋体" w:eastAsia="宋体" w:cs="宋体"/>
      <w:sz w:val="32"/>
      <w:szCs w:val="32"/>
    </w:rPr>
  </w:style>
  <w:style w:type="paragraph" w:customStyle="1" w:styleId="31">
    <w:name w:val="Table Paragraph"/>
    <w:basedOn w:val="1"/>
    <w:qFormat/>
    <w:uiPriority w:val="0"/>
    <w:pPr>
      <w:autoSpaceDE w:val="0"/>
      <w:autoSpaceDN w:val="0"/>
      <w:jc w:val="left"/>
    </w:pPr>
    <w:rPr>
      <w:rFonts w:ascii="宋体" w:hAnsi="宋体" w:eastAsia="宋体" w:cs="宋体"/>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633AD4-AFE6-447A-85BF-C33AD39773D5}">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27891</Words>
  <Characters>30747</Characters>
  <Lines>283</Lines>
  <Paragraphs>79</Paragraphs>
  <TotalTime>1</TotalTime>
  <ScaleCrop>false</ScaleCrop>
  <LinksUpToDate>false</LinksUpToDate>
  <CharactersWithSpaces>31382</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2021-11-29T16:28:00Z</dcterms:created>
  <dc:creator>chifai law</dc:creator>
  <cp:lastModifiedBy>CRIVIO.LAW</cp:lastModifiedBy>
  <dcterms:modified xsi:type="dcterms:W3CDTF">2022-01-06T02:08:01Z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064F15C3BBA84C13B516FD3301F7D7CA</vt:lpwstr>
  </property>
</Properties>
</file>