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" w:eastAsia="仿宋_GB2312"/>
          <w:b/>
          <w:sz w:val="30"/>
          <w:szCs w:val="30"/>
        </w:rPr>
      </w:pPr>
      <w:bookmarkStart w:id="0" w:name="_GoBack"/>
      <w:r>
        <w:rPr>
          <w:rFonts w:hint="eastAsia" w:ascii="仿宋_GB2312" w:hAnsi="仿宋" w:eastAsia="仿宋_GB2312"/>
          <w:b/>
          <w:sz w:val="30"/>
          <w:szCs w:val="30"/>
        </w:rPr>
        <w:t>湖南省教育科学研究工作者协会</w:t>
      </w:r>
      <w:r>
        <w:rPr>
          <w:rFonts w:ascii="仿宋_GB2312" w:hAnsi="仿宋" w:eastAsia="仿宋_GB2312"/>
          <w:b/>
          <w:sz w:val="30"/>
          <w:szCs w:val="30"/>
        </w:rPr>
        <w:t>20</w:t>
      </w:r>
      <w:r>
        <w:rPr>
          <w:rFonts w:hint="eastAsia" w:ascii="仿宋_GB2312" w:hAnsi="仿宋" w:eastAsia="仿宋_GB2312"/>
          <w:b/>
          <w:sz w:val="30"/>
          <w:szCs w:val="30"/>
        </w:rPr>
        <w:t>20</w:t>
      </w:r>
      <w:r>
        <w:rPr>
          <w:rFonts w:ascii="仿宋_GB2312" w:hAnsi="仿宋" w:eastAsia="仿宋_GB2312"/>
          <w:b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b/>
          <w:sz w:val="30"/>
          <w:szCs w:val="30"/>
        </w:rPr>
        <w:t>年度课题研究指南</w:t>
      </w:r>
    </w:p>
    <w:bookmarkEnd w:id="0"/>
    <w:p>
      <w:pPr>
        <w:spacing w:line="520" w:lineRule="exact"/>
        <w:ind w:firstLine="600" w:firstLineChars="200"/>
        <w:rPr>
          <w:rFonts w:ascii="等线" w:hAnsi="等线" w:eastAsia="等线"/>
          <w:b/>
          <w:sz w:val="30"/>
          <w:szCs w:val="30"/>
        </w:rPr>
      </w:pPr>
      <w:r>
        <w:rPr>
          <w:rFonts w:hint="eastAsia" w:ascii="等线" w:hAnsi="等线" w:eastAsia="等线"/>
          <w:b/>
          <w:sz w:val="30"/>
          <w:szCs w:val="30"/>
        </w:rPr>
        <w:t>一、指南说明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为引领我会会员单位开展新一轮研究，湖南省教育科学研究工作者协会决定发布协会“十三五”课题研究指南。鉴于教育问题的复杂性与多样性，鼓励会员单位和个人会员参考</w:t>
      </w:r>
      <w:r>
        <w:rPr>
          <w:rFonts w:ascii="仿宋_GB2312" w:hAnsi="仿宋" w:eastAsia="仿宋_GB2312"/>
          <w:b/>
          <w:sz w:val="30"/>
          <w:szCs w:val="30"/>
        </w:rPr>
        <w:t>《教育部关于加强和改进新时代基础教育教研工作的意见》、《国家职业教育改革实施方案》（简称《职教20条》）、《关于加强建设高水平本科教育全面提高人才培养能力意见》（简称《新时代高教40条》）</w:t>
      </w:r>
      <w:r>
        <w:rPr>
          <w:rFonts w:hint="eastAsia" w:ascii="仿宋_GB2312" w:hAnsi="仿宋" w:eastAsia="仿宋_GB2312"/>
          <w:b/>
          <w:sz w:val="30"/>
          <w:szCs w:val="30"/>
        </w:rPr>
        <w:t>等新文件，查阅相关研究文献，结合本单位、本学校要解决的实际问题开展选题，自拟研究题目，以充分调动广大会员参与教育研究的积极性。故本指南不设具体题目，只提供研究方向和示例。</w:t>
      </w:r>
    </w:p>
    <w:p>
      <w:pPr>
        <w:spacing w:line="520" w:lineRule="exact"/>
        <w:ind w:firstLine="600" w:firstLineChars="200"/>
        <w:rPr>
          <w:rFonts w:ascii="等线" w:hAnsi="等线" w:eastAsia="等线"/>
          <w:b/>
          <w:sz w:val="30"/>
          <w:szCs w:val="30"/>
        </w:rPr>
      </w:pPr>
      <w:r>
        <w:rPr>
          <w:rFonts w:hint="eastAsia" w:ascii="等线" w:hAnsi="等线" w:eastAsia="等线"/>
          <w:b/>
          <w:sz w:val="30"/>
          <w:szCs w:val="30"/>
        </w:rPr>
        <w:t> 二、基础教育课题研究指南</w:t>
      </w:r>
    </w:p>
    <w:p>
      <w:pPr>
        <w:numPr>
          <w:ilvl w:val="0"/>
          <w:numId w:val="1"/>
        </w:numPr>
        <w:spacing w:line="520" w:lineRule="exact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教育事业发展与管理</w:t>
      </w:r>
    </w:p>
    <w:p>
      <w:pPr>
        <w:spacing w:line="520" w:lineRule="exact"/>
        <w:ind w:firstLine="596" w:firstLineChars="198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本方向以推进义务教育均衡发展，提升教育管理水平、科学实施教育评价为主的研究。主要涉及教育事业发展现状，存在的主要问题；各地针对具体问题进行的政策探究和实践探索；教育行政和科研管理部门在管理过程中针对具体问题开展的研究、教育质量监测与评价的研究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例：县(区)域中小学片区教育科研管理研究；城乡中小学均衡发展调查研究；中小学教育管理体制与机制研究；中学生综合素质评价实施与管理研究等。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（二）教师队伍建设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本方向包括教师队伍结构建设和教师个人素质与能力建设两大方面。主要涉及师资队伍的现状、问题及培养措施研究；教师的专业成长规律及专业标准研究；教师培训机构的课程与教学研究；教师培训体系的建立与完善研究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例：中小学校师德师风建设研究；青年教师专业化成长案例研究；中小学教师的激励与评价研究等。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（三）学生发展与教育教学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本方向以促进学生发展为根本目的，利用一切有利于学生学习活动的方法、途径，组织学生进行有效学习，达到教与学和谐统一的研究。主要涉及教育环境的创设与利用；教育活动的组织形式与方法策略；学生学科核心素养培育方法策略；各种有利于学生发展的教学方法策略的研究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例：中小学区域性教育教学成果推广研究；高中生职业生涯规划发展研究；教师应对班级突发事件的策略研究等。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（四）学生健康与安全教育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本方向为提高学生的生命质量，培育学生的健康与安全意识，让学生拥有知识的同时，拥有健康体魄，拥有美好生命，确保学生身体、心理、知识、能力全面和谐发展的研究。主要涉及学生卫生保健制度建设；运动能力促进；良好生活习惯养成；安全教育与健康保障等方面的研究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例：中学生抗挫折能力培养研究；中小学学生心理变化及调控研究；中学生运动能力与身体素质的调查研究。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（五）学校课程与教材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本方向包括课程体系、课程标准、课程质量、教材使用与质量信息反馈等研究。主要涉及学校课程的现状与问题；课程的改革和发展；</w:t>
      </w:r>
      <w:r>
        <w:rPr>
          <w:rFonts w:ascii="仿宋_GB2312" w:hAnsi="仿宋" w:eastAsia="仿宋_GB2312"/>
          <w:b/>
          <w:sz w:val="30"/>
          <w:szCs w:val="30"/>
        </w:rPr>
        <w:t>课程</w:t>
      </w:r>
      <w:r>
        <w:rPr>
          <w:rFonts w:hint="eastAsia" w:ascii="仿宋_GB2312" w:hAnsi="仿宋" w:eastAsia="仿宋_GB2312"/>
          <w:b/>
          <w:sz w:val="30"/>
          <w:szCs w:val="30"/>
        </w:rPr>
        <w:t>内容设置与</w:t>
      </w:r>
      <w:r>
        <w:rPr>
          <w:rFonts w:ascii="仿宋_GB2312" w:hAnsi="仿宋" w:eastAsia="仿宋_GB2312"/>
          <w:b/>
          <w:sz w:val="30"/>
          <w:szCs w:val="30"/>
        </w:rPr>
        <w:t>标准的解析与案例分析</w:t>
      </w:r>
      <w:r>
        <w:rPr>
          <w:rFonts w:hint="eastAsia" w:ascii="仿宋_GB2312" w:hAnsi="仿宋" w:eastAsia="仿宋_GB2312"/>
          <w:b/>
          <w:sz w:val="30"/>
          <w:szCs w:val="30"/>
        </w:rPr>
        <w:t>；校本课程资源的开发与利用；国家</w:t>
      </w:r>
      <w:r>
        <w:rPr>
          <w:rFonts w:ascii="仿宋_GB2312" w:hAnsi="仿宋" w:eastAsia="仿宋_GB2312"/>
          <w:b/>
          <w:sz w:val="30"/>
          <w:szCs w:val="30"/>
        </w:rPr>
        <w:t>课程实施和教材使用的培训、监测和评估</w:t>
      </w:r>
      <w:r>
        <w:rPr>
          <w:rFonts w:hint="eastAsia" w:ascii="仿宋_GB2312" w:hAnsi="仿宋" w:eastAsia="仿宋_GB2312"/>
          <w:b/>
          <w:sz w:val="30"/>
          <w:szCs w:val="30"/>
        </w:rPr>
        <w:t>；各学科</w:t>
      </w:r>
      <w:r>
        <w:rPr>
          <w:rFonts w:ascii="仿宋_GB2312" w:hAnsi="仿宋" w:eastAsia="仿宋_GB2312"/>
          <w:b/>
          <w:sz w:val="30"/>
          <w:szCs w:val="30"/>
        </w:rPr>
        <w:t>教材</w:t>
      </w:r>
      <w:r>
        <w:rPr>
          <w:rFonts w:hint="eastAsia" w:ascii="仿宋_GB2312" w:hAnsi="仿宋" w:eastAsia="仿宋_GB2312"/>
          <w:b/>
          <w:sz w:val="30"/>
          <w:szCs w:val="30"/>
        </w:rPr>
        <w:t>的</w:t>
      </w:r>
      <w:r>
        <w:rPr>
          <w:rFonts w:ascii="仿宋_GB2312" w:hAnsi="仿宋" w:eastAsia="仿宋_GB2312"/>
          <w:b/>
          <w:sz w:val="30"/>
          <w:szCs w:val="30"/>
        </w:rPr>
        <w:t>解析与案例分析</w:t>
      </w:r>
      <w:r>
        <w:rPr>
          <w:rFonts w:hint="eastAsia" w:ascii="仿宋_GB2312" w:hAnsi="仿宋" w:eastAsia="仿宋_GB2312"/>
          <w:b/>
          <w:sz w:val="30"/>
          <w:szCs w:val="30"/>
        </w:rPr>
        <w:t>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例：融合多版本教材的教学策略研究；新高考背景下学校课程体系构建研究；综合实践活动课程与其他课程的整合研究；不同年龄段幼儿游戏特点及指导策略的研究等。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（六）家庭、学校、社区协同教育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本方向强调学校、家庭、社会教育力量的互相结合，强调学校的组织和主导作用，强调三方面的协调、同步。主要涉及学校与家庭、社区在教育领域的相互支持、协作与配合研究；关注学校、家庭与社会协调教育的现状；研究学校、家庭与社区有效配合的途径与方法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例：家校合作的国际经验与本土化实践研究；家校沟通的内容与方式方法研究；家校合作培养学生良好行为习惯的研究等。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（七）特殊教育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本方向针对有视力障碍、听力障碍、言语障碍、智力发育迟缓、中重度肢体残疾、脑瘫及多重障碍的适龄残疾儿童少年实施的个性化教育研究。主要涉及特殊教育师资队伍建设；以“问题”为导向，开展的具有针对性、实效性和可操作性的教学行动研究；落实特殊教育提升计划，科学规划、合理布局、组建团队、建立机制等管理方面的研究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例：特殊儿童社会适应能力培养研究；学习障碍儿童个别化教育研究；特殊儿童随班就读研究；孤独症及其他发展性障碍儿童教育康复研究等。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（八）中等职业教育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本方向包括建好办好一批县域职教中心，指导各地优化中等职业学校布局结构，办好内地少数民族中职班。完善招生机制，积极招收初高中毕业未升学学生、退役军人、退役运动员、下岗职工、返乡农民工等接受中等职业教育；服务乡村振兴战略，为广大农村培养以新型职业农民为主体的农村实用人才。帮助部分学业困难学生按规定在职业学校完成义务教育，并接受部分职业技能学习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鼓励中等职业学校联合中小学开展劳动和职业启蒙教育，将动手实践内容纳入中小学相关课程和学生综合素质评价。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例：中等职业学校教育教学问题研究；中职产教融合校企“双元”育人问题研究。</w:t>
      </w:r>
    </w:p>
    <w:p>
      <w:pPr>
        <w:spacing w:line="520" w:lineRule="exact"/>
        <w:ind w:firstLine="600" w:firstLineChars="200"/>
        <w:rPr>
          <w:rFonts w:ascii="等线" w:hAnsi="等线" w:eastAsia="等线"/>
          <w:b/>
          <w:sz w:val="30"/>
          <w:szCs w:val="30"/>
        </w:rPr>
      </w:pPr>
      <w:r>
        <w:rPr>
          <w:rFonts w:hint="eastAsia" w:ascii="等线" w:hAnsi="等线" w:eastAsia="等线"/>
          <w:b/>
          <w:sz w:val="30"/>
          <w:szCs w:val="30"/>
        </w:rPr>
        <w:t>三、 高等教育课题研究指南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（一）高等职业教育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本方向包括完善高层次应用型人才培养体系、教育教学相关标准、启动1+X证书制度试点工作、开展高质量职业培训、实现学习成果的认定、积累和转换、坚持知行合一、工学结合、推动校企全面加强深度合作、打造一批高水平实训基地、多措并举打造“双师型”教师队伍、推动企业和社会力量举办高质量职业教育、做优职业教育培训评价组织、提高技术技能人才待遇水平、健全经费投入机制建立健全职业教育质量评价和督导评估制度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例：乡村振兴战略下新型职业农民培育策略研究；高职院校大学生诚信道德教育现状及对策研究；1+X证书制度试验研究。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（二）本科高校教育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本方向包括把思想政治教育贯穿高水平本科教育全过程、围绕激发学生学习兴趣和潜能深化教学改革、全面提高教师教书育人能力、大力推进一流专业建设、推进现代信息技术与教育教学深度融合、构建全方位全过程深融合的协同育人新机制、加强大学质量文化建设、切实做好高水平本科教育建设工作的组织实施等。</w:t>
      </w:r>
    </w:p>
    <w:p>
      <w:pPr>
        <w:spacing w:line="52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例：本科高校思政教育融入课堂教学研究；SPOC教学模式在高校计算机基础课程中的应用研究；“新工科”视角下电子信息类应用型人才培养的研究与实践。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55714"/>
    <w:multiLevelType w:val="multilevel"/>
    <w:tmpl w:val="5D955714"/>
    <w:lvl w:ilvl="0" w:tentative="0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20"/>
      </w:pPr>
    </w:lvl>
    <w:lvl w:ilvl="2" w:tentative="0">
      <w:start w:val="1"/>
      <w:numFmt w:val="lowerRoman"/>
      <w:lvlText w:val="%3."/>
      <w:lvlJc w:val="right"/>
      <w:pPr>
        <w:ind w:left="1862" w:hanging="420"/>
      </w:pPr>
    </w:lvl>
    <w:lvl w:ilvl="3" w:tentative="0">
      <w:start w:val="1"/>
      <w:numFmt w:val="decimal"/>
      <w:lvlText w:val="%4."/>
      <w:lvlJc w:val="left"/>
      <w:pPr>
        <w:ind w:left="2282" w:hanging="420"/>
      </w:pPr>
    </w:lvl>
    <w:lvl w:ilvl="4" w:tentative="0">
      <w:start w:val="1"/>
      <w:numFmt w:val="lowerLetter"/>
      <w:lvlText w:val="%5)"/>
      <w:lvlJc w:val="left"/>
      <w:pPr>
        <w:ind w:left="2702" w:hanging="420"/>
      </w:pPr>
    </w:lvl>
    <w:lvl w:ilvl="5" w:tentative="0">
      <w:start w:val="1"/>
      <w:numFmt w:val="lowerRoman"/>
      <w:lvlText w:val="%6."/>
      <w:lvlJc w:val="right"/>
      <w:pPr>
        <w:ind w:left="3122" w:hanging="420"/>
      </w:pPr>
    </w:lvl>
    <w:lvl w:ilvl="6" w:tentative="0">
      <w:start w:val="1"/>
      <w:numFmt w:val="decimal"/>
      <w:lvlText w:val="%7."/>
      <w:lvlJc w:val="left"/>
      <w:pPr>
        <w:ind w:left="3542" w:hanging="420"/>
      </w:pPr>
    </w:lvl>
    <w:lvl w:ilvl="7" w:tentative="0">
      <w:start w:val="1"/>
      <w:numFmt w:val="lowerLetter"/>
      <w:lvlText w:val="%8)"/>
      <w:lvlJc w:val="left"/>
      <w:pPr>
        <w:ind w:left="3962" w:hanging="420"/>
      </w:pPr>
    </w:lvl>
    <w:lvl w:ilvl="8" w:tentative="0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C735C"/>
    <w:rsid w:val="4EB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2020-05-18T03:51:00Z</dcterms:created>
  <dc:creator>_Bingqian</dc:creator>
  <cp:lastModifiedBy>_Bingqian</cp:lastModifiedBy>
  <dcterms:modified xsi:type="dcterms:W3CDTF">2020-05-18T03:52:15Z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