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rPr>
          <w:sz w:val="56"/>
          <w:szCs w:val="56"/>
        </w:rPr>
      </w:pPr>
    </w:p>
    <w:p>
      <w:pPr>
        <w:pStyle w:val="23"/>
        <w:jc w:val="center"/>
        <w:rPr>
          <w:sz w:val="56"/>
          <w:szCs w:val="56"/>
        </w:rPr>
      </w:pPr>
    </w:p>
    <w:p>
      <w:pPr>
        <w:pStyle w:val="23"/>
        <w:jc w:val="center"/>
        <w:rPr>
          <w:sz w:val="84"/>
          <w:szCs w:val="84"/>
        </w:rPr>
      </w:pPr>
    </w:p>
    <w:p>
      <w:pPr>
        <w:pStyle w:val="23"/>
        <w:jc w:val="center"/>
        <w:rPr>
          <w:sz w:val="84"/>
          <w:szCs w:val="84"/>
        </w:rPr>
      </w:pPr>
    </w:p>
    <w:p>
      <w:pPr>
        <w:pStyle w:val="23"/>
        <w:jc w:val="center"/>
        <w:rPr>
          <w:sz w:val="84"/>
          <w:szCs w:val="84"/>
        </w:rPr>
      </w:pPr>
      <w:r>
        <w:rPr>
          <w:rFonts w:hint="eastAsia"/>
          <w:sz w:val="84"/>
          <w:szCs w:val="84"/>
        </w:rPr>
        <w:t>2020年度</w:t>
      </w:r>
    </w:p>
    <w:p>
      <w:pPr>
        <w:pStyle w:val="23"/>
        <w:jc w:val="center"/>
        <w:rPr>
          <w:sz w:val="56"/>
          <w:szCs w:val="56"/>
        </w:rPr>
      </w:pPr>
      <w:r>
        <w:rPr>
          <w:rFonts w:hint="eastAsia"/>
          <w:sz w:val="84"/>
          <w:szCs w:val="84"/>
        </w:rPr>
        <w:t>湖南艺术职业学院部门决算</w:t>
      </w:r>
    </w:p>
    <w:p>
      <w:pPr>
        <w:pStyle w:val="23"/>
        <w:jc w:val="center"/>
        <w:rPr>
          <w:sz w:val="56"/>
          <w:szCs w:val="56"/>
        </w:rPr>
      </w:pPr>
    </w:p>
    <w:p>
      <w:pPr>
        <w:pStyle w:val="23"/>
        <w:jc w:val="center"/>
        <w:rPr>
          <w:sz w:val="56"/>
          <w:szCs w:val="56"/>
        </w:rPr>
      </w:pPr>
    </w:p>
    <w:p>
      <w:pPr>
        <w:pStyle w:val="23"/>
        <w:jc w:val="center"/>
        <w:rPr>
          <w:sz w:val="56"/>
          <w:szCs w:val="56"/>
        </w:rPr>
      </w:pPr>
    </w:p>
    <w:p>
      <w:pPr>
        <w:pStyle w:val="23"/>
        <w:jc w:val="center"/>
        <w:rPr>
          <w:sz w:val="32"/>
          <w:szCs w:val="32"/>
        </w:rPr>
      </w:pPr>
    </w:p>
    <w:p>
      <w:pPr>
        <w:pStyle w:val="23"/>
        <w:jc w:val="center"/>
        <w:rPr>
          <w:sz w:val="32"/>
          <w:szCs w:val="32"/>
        </w:rPr>
      </w:pPr>
    </w:p>
    <w:p>
      <w:pPr>
        <w:pStyle w:val="23"/>
        <w:jc w:val="center"/>
        <w:rPr>
          <w:sz w:val="32"/>
          <w:szCs w:val="32"/>
        </w:rPr>
      </w:pPr>
    </w:p>
    <w:p>
      <w:pPr>
        <w:pStyle w:val="23"/>
        <w:jc w:val="center"/>
        <w:rPr>
          <w:sz w:val="32"/>
          <w:szCs w:val="32"/>
        </w:rPr>
      </w:pPr>
    </w:p>
    <w:p>
      <w:pPr>
        <w:pStyle w:val="23"/>
        <w:jc w:val="center"/>
        <w:rPr>
          <w:sz w:val="32"/>
          <w:szCs w:val="32"/>
        </w:rPr>
      </w:pPr>
    </w:p>
    <w:p>
      <w:pPr>
        <w:pStyle w:val="23"/>
        <w:spacing w:line="540" w:lineRule="exact"/>
        <w:jc w:val="center"/>
        <w:rPr>
          <w:sz w:val="56"/>
          <w:szCs w:val="56"/>
        </w:rPr>
      </w:pPr>
    </w:p>
    <w:p>
      <w:pPr>
        <w:pStyle w:val="23"/>
        <w:spacing w:line="500" w:lineRule="exact"/>
        <w:jc w:val="center"/>
        <w:rPr>
          <w:b/>
          <w:sz w:val="36"/>
          <w:szCs w:val="28"/>
        </w:rPr>
      </w:pPr>
    </w:p>
    <w:p>
      <w:pPr>
        <w:pStyle w:val="23"/>
        <w:spacing w:line="500" w:lineRule="exact"/>
        <w:jc w:val="center"/>
        <w:rPr>
          <w:b/>
          <w:sz w:val="36"/>
          <w:szCs w:val="28"/>
        </w:rPr>
      </w:pPr>
    </w:p>
    <w:p>
      <w:pPr>
        <w:pStyle w:val="23"/>
        <w:spacing w:line="500" w:lineRule="exact"/>
        <w:jc w:val="center"/>
        <w:rPr>
          <w:b/>
          <w:sz w:val="36"/>
          <w:szCs w:val="28"/>
        </w:rPr>
      </w:pPr>
    </w:p>
    <w:p>
      <w:pPr>
        <w:pStyle w:val="23"/>
        <w:spacing w:line="500" w:lineRule="exact"/>
        <w:jc w:val="center"/>
        <w:rPr>
          <w:b/>
          <w:sz w:val="36"/>
          <w:szCs w:val="28"/>
        </w:rPr>
      </w:pPr>
    </w:p>
    <w:p>
      <w:pPr>
        <w:pStyle w:val="23"/>
        <w:spacing w:line="500" w:lineRule="exact"/>
        <w:jc w:val="center"/>
        <w:rPr>
          <w:b/>
          <w:sz w:val="36"/>
          <w:szCs w:val="28"/>
        </w:rPr>
      </w:pPr>
      <w:r>
        <w:rPr>
          <w:rFonts w:hint="eastAsia"/>
          <w:b/>
          <w:sz w:val="36"/>
          <w:szCs w:val="28"/>
        </w:rPr>
        <w:t>目录</w:t>
      </w:r>
    </w:p>
    <w:p>
      <w:pPr>
        <w:pStyle w:val="23"/>
        <w:spacing w:line="500" w:lineRule="exact"/>
        <w:rPr>
          <w:rFonts w:ascii="仿宋_GB2312" w:hAnsi="仿宋_GB2312" w:cs="仿宋_GB2312"/>
          <w:b/>
          <w:sz w:val="28"/>
          <w:szCs w:val="28"/>
        </w:rPr>
      </w:pPr>
      <w:r>
        <w:rPr>
          <w:rFonts w:hint="eastAsia"/>
          <w:b/>
          <w:sz w:val="28"/>
          <w:szCs w:val="28"/>
        </w:rPr>
        <w:t>第一部分湖南艺术职业学院单位概况</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2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2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2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2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2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2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23"/>
        <w:jc w:val="center"/>
        <w:rPr>
          <w:sz w:val="84"/>
          <w:szCs w:val="84"/>
        </w:rPr>
      </w:pPr>
      <w:r>
        <w:rPr>
          <w:rFonts w:hint="eastAsia"/>
          <w:sz w:val="84"/>
          <w:szCs w:val="84"/>
        </w:rPr>
        <w:t>第一部分</w:t>
      </w:r>
      <w:r>
        <w:rPr>
          <w:sz w:val="84"/>
          <w:szCs w:val="84"/>
        </w:rPr>
        <w:t xml:space="preserve"> </w:t>
      </w:r>
    </w:p>
    <w:p>
      <w:pPr>
        <w:pStyle w:val="23"/>
        <w:jc w:val="center"/>
        <w:rPr>
          <w:sz w:val="84"/>
          <w:szCs w:val="84"/>
        </w:rPr>
      </w:pPr>
    </w:p>
    <w:p>
      <w:pPr>
        <w:pStyle w:val="23"/>
        <w:jc w:val="center"/>
        <w:rPr>
          <w:sz w:val="84"/>
          <w:szCs w:val="84"/>
        </w:rPr>
      </w:pPr>
      <w:r>
        <w:rPr>
          <w:rFonts w:hint="eastAsia"/>
          <w:sz w:val="84"/>
          <w:szCs w:val="84"/>
        </w:rPr>
        <w:t>湖南艺术职业学院单位概况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4"/>
        <w:ind w:left="720" w:firstLine="0" w:firstLineChars="0"/>
        <w:jc w:val="left"/>
        <w:rPr>
          <w:rFonts w:ascii="黑体" w:hAnsi="黑体" w:eastAsia="黑体"/>
          <w:sz w:val="32"/>
          <w:szCs w:val="32"/>
        </w:rPr>
      </w:pPr>
    </w:p>
    <w:p>
      <w:pPr>
        <w:pStyle w:val="24"/>
        <w:ind w:left="720" w:firstLine="0" w:firstLineChars="0"/>
        <w:jc w:val="left"/>
        <w:rPr>
          <w:rFonts w:ascii="黑体" w:hAnsi="黑体" w:eastAsia="黑体"/>
          <w:sz w:val="32"/>
          <w:szCs w:val="32"/>
        </w:rPr>
      </w:pPr>
    </w:p>
    <w:p>
      <w:pPr>
        <w:pStyle w:val="24"/>
        <w:ind w:left="720" w:firstLine="0" w:firstLineChars="0"/>
        <w:jc w:val="left"/>
        <w:rPr>
          <w:rFonts w:ascii="黑体" w:hAnsi="黑体" w:eastAsia="黑体"/>
          <w:sz w:val="32"/>
          <w:szCs w:val="32"/>
        </w:rPr>
      </w:pPr>
    </w:p>
    <w:p>
      <w:pPr>
        <w:pStyle w:val="2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rPr>
          <w:rFonts w:ascii="仿宋_GB2312" w:hAnsi="仿宋" w:eastAsia="仿宋_GB2312"/>
          <w:sz w:val="32"/>
          <w:szCs w:val="32"/>
        </w:rPr>
      </w:pPr>
      <w:r>
        <w:rPr>
          <w:rFonts w:hint="eastAsia" w:ascii="仿宋_GB2312" w:hAnsi="仿宋" w:eastAsia="仿宋_GB2312"/>
          <w:sz w:val="32"/>
          <w:szCs w:val="32"/>
        </w:rPr>
        <w:t xml:space="preserve">    湖南艺术职业学院是国家公办艺术类高等院校。2002年由1951年成立的湖南省艺术学校和1979年成立的湖南省电影学校合并升格为湖南艺术职业学院，目前是湖南省示范性高等职业学院、湖南省文明高等学校、全国基层文化队伍培训基地、全国文化干部培训基地、全国非遗传承人群研培基地，先后荣获全国文化工作先进集体、全国学校艺术教育先进单位、湖南省职业教育先进单位等荣誉。</w:t>
      </w:r>
    </w:p>
    <w:p>
      <w:pPr>
        <w:ind w:firstLine="800" w:firstLineChars="250"/>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学院仅包含本级预算</w:t>
      </w:r>
      <w:r>
        <w:rPr>
          <w:rFonts w:hint="eastAsia" w:ascii="仿宋_GB2312" w:hAnsi="仿宋" w:eastAsia="仿宋_GB2312"/>
          <w:sz w:val="32"/>
          <w:szCs w:val="32"/>
          <w:lang w:eastAsia="zh-CN"/>
        </w:rPr>
        <w:t>，</w:t>
      </w:r>
      <w:r>
        <w:rPr>
          <w:rFonts w:hint="eastAsia" w:ascii="仿宋_GB2312" w:hAnsi="仿宋" w:eastAsia="仿宋_GB2312"/>
          <w:sz w:val="32"/>
          <w:szCs w:val="32"/>
        </w:rPr>
        <w:t>现设有戏剧、音乐、舞蹈、影视、美术、文化旅游6个专业系和公共教学部、实训处、艺术培训部、湖南省艺术学校（中专部），共开设28个专业。学院以表演艺术专业为特色，以戏剧、音乐、舞蹈、美术、影视、播音主持等专业为优势，打造了以表演艺术专业群、艺术设计专业群、广播影视专业群、文化旅游专业群为核心的文化艺术专业集群。</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rPr>
          <w:rFonts w:asciiTheme="minorEastAsia" w:hAnsiTheme="minorEastAsia"/>
          <w:bCs/>
          <w:kern w:val="0"/>
          <w:sz w:val="32"/>
          <w:szCs w:val="32"/>
        </w:rPr>
      </w:pPr>
      <w:r>
        <w:rPr>
          <w:rFonts w:hint="eastAsia" w:ascii="仿宋" w:hAnsi="仿宋" w:eastAsia="仿宋"/>
          <w:bCs/>
          <w:kern w:val="0"/>
          <w:sz w:val="32"/>
          <w:szCs w:val="32"/>
        </w:rPr>
        <w:t xml:space="preserve">    学院</w:t>
      </w:r>
      <w:r>
        <w:rPr>
          <w:rFonts w:ascii="仿宋" w:hAnsi="仿宋" w:eastAsia="仿宋"/>
          <w:bCs/>
          <w:kern w:val="0"/>
          <w:sz w:val="32"/>
          <w:szCs w:val="32"/>
        </w:rPr>
        <w:t>20</w:t>
      </w:r>
      <w:r>
        <w:rPr>
          <w:rFonts w:hint="eastAsia" w:ascii="仿宋" w:hAnsi="仿宋" w:eastAsia="仿宋"/>
          <w:bCs/>
          <w:kern w:val="0"/>
          <w:sz w:val="32"/>
          <w:szCs w:val="32"/>
        </w:rPr>
        <w:t>20年部门决算汇总公开单位构成包括：单位本级以及</w:t>
      </w:r>
      <w:r>
        <w:rPr>
          <w:rFonts w:hint="eastAsia" w:ascii="仿宋" w:hAnsi="仿宋" w:eastAsia="仿宋"/>
          <w:sz w:val="32"/>
          <w:szCs w:val="32"/>
        </w:rPr>
        <w:t>戏剧、</w:t>
      </w:r>
      <w:r>
        <w:rPr>
          <w:rFonts w:hint="eastAsia" w:ascii="仿宋_GB2312" w:hAnsi="仿宋" w:eastAsia="仿宋_GB2312"/>
          <w:sz w:val="32"/>
          <w:szCs w:val="32"/>
        </w:rPr>
        <w:t>音乐、舞蹈、影视、美术、文化旅游6个专业系和公共教学部、实训处、艺术培训部、湖南省艺术学校（中专部），共28个专业及所有行政处室。</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8733.85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5690.92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13111.79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1.36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652．11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1175.89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574.2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2"/>
              </w:rPr>
              <w:t>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15600.66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14939.46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456.03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877.12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1082.29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16477.78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16477.78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16"/>
        <w:tblW w:w="15307" w:type="dxa"/>
        <w:tblInd w:w="0" w:type="dxa"/>
        <w:tblLayout w:type="autofit"/>
        <w:tblCellMar>
          <w:top w:w="0" w:type="dxa"/>
          <w:left w:w="0" w:type="dxa"/>
          <w:bottom w:w="0" w:type="dxa"/>
          <w:right w:w="0" w:type="dxa"/>
        </w:tblCellMar>
      </w:tblPr>
      <w:tblGrid>
        <w:gridCol w:w="469"/>
        <w:gridCol w:w="470"/>
        <w:gridCol w:w="3422"/>
        <w:gridCol w:w="2346"/>
        <w:gridCol w:w="1891"/>
        <w:gridCol w:w="952"/>
        <w:gridCol w:w="1891"/>
        <w:gridCol w:w="952"/>
        <w:gridCol w:w="952"/>
        <w:gridCol w:w="2083"/>
      </w:tblGrid>
      <w:tr>
        <w:tblPrEx>
          <w:tblCellMar>
            <w:top w:w="0" w:type="dxa"/>
            <w:left w:w="0" w:type="dxa"/>
            <w:bottom w:w="0" w:type="dxa"/>
            <w:right w:w="0" w:type="dxa"/>
          </w:tblCellMar>
        </w:tblPrEx>
        <w:trPr>
          <w:trHeight w:val="435" w:hRule="atLeast"/>
        </w:trPr>
        <w:tc>
          <w:tcPr>
            <w:tcW w:w="15307"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4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9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9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0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420"/>
              <w:jc w:val="center"/>
              <w:rPr>
                <w:rFonts w:ascii="宋体" w:hAnsi="宋体" w:eastAsia="宋体" w:cs="宋体"/>
                <w:sz w:val="24"/>
                <w:szCs w:val="24"/>
              </w:rPr>
            </w:pPr>
            <w:r>
              <w:rPr>
                <w:rFonts w:hint="eastAsia"/>
              </w:rPr>
              <w:t>15600.66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8733.85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5690.92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1175.89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13352.3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7148.89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5027.52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1175.89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20503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13352.3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7148.89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5027.52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1175.89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2050302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中等职业教育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168.36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168.36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2050305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高等职业教育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13183.95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6980.53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5027.52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1175.89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科学技术支出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社会科学</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2060699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其他社会科学支出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1070.16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1070.16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820.16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820.16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820.16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820.16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574.2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310.8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263.4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563.4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263.4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563.4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263.4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就业补助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就业创业服务补贴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5307"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6"/>
        <w:tblW w:w="13183"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14939.46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10100.06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4839.4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13111.79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8936.66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4175.13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20503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职业教育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13111.79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8936.66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4175.13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2050302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中等职业教育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170.16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170.16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2050305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高等职业教育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12941.63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8936.66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4004.97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20606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社会科学</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2060699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其他社会科学支出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652.11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652.11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文化和旅游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647.81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647.81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647.81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647.81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2079999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其他文化旅游体育与传媒支出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574.2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563.4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563.4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563.4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563.4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563.4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就业补助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2080701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就业创业服务补贴</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18"/>
                <w:szCs w:val="18"/>
              </w:rPr>
              <w:t>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6"/>
        <w:tblpPr w:leftFromText="180" w:rightFromText="180" w:vertAnchor="text" w:horzAnchor="page" w:tblpX="818" w:tblpY="63"/>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8733.85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7364.4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7364.4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652.11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652.11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310.8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310.8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8733.85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8528.67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8528.67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877.12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1082.29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1082.29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877.12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9610.97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9610.96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9610.96</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8528.67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4470.74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4057.93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7364.4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3970.74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3393.66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20503</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7364.4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3970.74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3393.66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2050302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中等职业教育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170.16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170.16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2050305</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高等职业教育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7194.24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3970.74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3223.5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206</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20606</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社会科学</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1.36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1.36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2060699</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其他社会科学支出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　　</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652.11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652.11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文化和旅游</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647.81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647.81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2070199</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其他文化和旅游支出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647.81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647.81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20799</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2079999</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其他文化旅游体育与传媒支出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310.8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20807</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就业补助</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2080701</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就业创业服务补贴</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6"/>
        <w:tblW w:w="0" w:type="auto"/>
        <w:tblInd w:w="0" w:type="dxa"/>
        <w:tblLayout w:type="autofit"/>
        <w:tblCellMar>
          <w:top w:w="0" w:type="dxa"/>
          <w:left w:w="108" w:type="dxa"/>
          <w:bottom w:w="0" w:type="dxa"/>
          <w:right w:w="108" w:type="dxa"/>
        </w:tblCellMar>
      </w:tblPr>
      <w:tblGrid>
        <w:gridCol w:w="1142"/>
        <w:gridCol w:w="2817"/>
        <w:gridCol w:w="2210"/>
        <w:gridCol w:w="649"/>
        <w:gridCol w:w="1950"/>
        <w:gridCol w:w="1430"/>
        <w:gridCol w:w="649"/>
        <w:gridCol w:w="3510"/>
        <w:gridCol w:w="125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3275.58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375.15　375.15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6.16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844.71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13.16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6.16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108.41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29.02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1056.02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241.97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29.02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30.72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643.3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784.83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77.34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2.66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310.64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109.48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24.05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169.23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137.04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235.76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3.84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27.91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4060.41　4060.414060.41</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410.33　410.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8.58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4.74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,请说明：湖南艺术职业学院没有政府性基金收入，也没有使用政府性基金安排的支出，故本表无数据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1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r>
              <w:rPr>
                <w:rFonts w:hint="eastAsia" w:ascii="Times New Roman" w:hAnsi="Times New Roman" w:eastAsia="仿宋_GB2312" w:cs="Times New Roman"/>
                <w:kern w:val="0"/>
                <w:szCs w:val="21"/>
              </w:rPr>
              <w:t>湖南艺术职业学院没有国有资本经营预算财政拨款收入，也没有使用国有资本经营预算财政拨款安排的支出，故本表无数据</w:t>
            </w:r>
          </w:p>
        </w:tc>
      </w:tr>
    </w:tbl>
    <w:p>
      <w:pPr>
        <w:pStyle w:val="23"/>
        <w:rPr>
          <w:sz w:val="72"/>
          <w:szCs w:val="72"/>
        </w:rPr>
        <w:sectPr>
          <w:pgSz w:w="16838" w:h="11906" w:orient="landscape"/>
          <w:pgMar w:top="720" w:right="720" w:bottom="720" w:left="720" w:header="851" w:footer="992" w:gutter="0"/>
          <w:cols w:space="425" w:num="1"/>
          <w:docGrid w:type="lines" w:linePitch="312" w:charSpace="0"/>
        </w:sectPr>
      </w:pPr>
    </w:p>
    <w:p>
      <w:pPr>
        <w:pStyle w:val="23"/>
        <w:rPr>
          <w:sz w:val="72"/>
          <w:szCs w:val="72"/>
        </w:rPr>
      </w:pPr>
    </w:p>
    <w:p>
      <w:pPr>
        <w:pStyle w:val="23"/>
        <w:rPr>
          <w:sz w:val="72"/>
          <w:szCs w:val="72"/>
        </w:rPr>
      </w:pPr>
    </w:p>
    <w:p>
      <w:pPr>
        <w:pStyle w:val="23"/>
        <w:rPr>
          <w:sz w:val="72"/>
          <w:szCs w:val="72"/>
        </w:rPr>
      </w:pPr>
    </w:p>
    <w:p>
      <w:pPr>
        <w:pStyle w:val="23"/>
        <w:rPr>
          <w:sz w:val="72"/>
          <w:szCs w:val="72"/>
        </w:rPr>
      </w:pPr>
    </w:p>
    <w:p>
      <w:pPr>
        <w:pStyle w:val="23"/>
        <w:jc w:val="center"/>
        <w:rPr>
          <w:sz w:val="72"/>
          <w:szCs w:val="72"/>
        </w:rPr>
      </w:pPr>
    </w:p>
    <w:p>
      <w:pPr>
        <w:pStyle w:val="23"/>
        <w:jc w:val="center"/>
        <w:rPr>
          <w:sz w:val="72"/>
          <w:szCs w:val="72"/>
        </w:rPr>
      </w:pPr>
    </w:p>
    <w:p>
      <w:pPr>
        <w:pStyle w:val="23"/>
        <w:jc w:val="center"/>
        <w:rPr>
          <w:sz w:val="72"/>
          <w:szCs w:val="72"/>
        </w:rPr>
      </w:pPr>
      <w:r>
        <w:rPr>
          <w:rFonts w:hint="eastAsia"/>
          <w:sz w:val="72"/>
          <w:szCs w:val="72"/>
        </w:rPr>
        <w:t>第三部分</w:t>
      </w:r>
    </w:p>
    <w:p>
      <w:pPr>
        <w:pStyle w:val="23"/>
        <w:jc w:val="center"/>
        <w:rPr>
          <w:sz w:val="70"/>
          <w:szCs w:val="70"/>
        </w:rPr>
      </w:pPr>
    </w:p>
    <w:p>
      <w:pPr>
        <w:pStyle w:val="23"/>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23"/>
        <w:rPr>
          <w:rFonts w:asciiTheme="minorEastAsia" w:hAnsiTheme="minorEastAsia" w:eastAsiaTheme="minorEastAsia"/>
          <w:sz w:val="32"/>
          <w:szCs w:val="32"/>
        </w:rPr>
      </w:pPr>
    </w:p>
    <w:p>
      <w:pPr>
        <w:pStyle w:val="23"/>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单位决算收入15600.66万元，实际支出14939.46万元，收入较上年相比降低了43.27%，主要原因为2019年处置老校区拨款收入,2020年无该项拨款收入。支出较上年相比降低了42.23%，主要为实地办学时间缩短，公用经费较上年减少，项目支出经费增加且指标下达时间晚。</w:t>
      </w:r>
    </w:p>
    <w:p>
      <w:pPr>
        <w:pStyle w:val="23"/>
        <w:rPr>
          <w:rFonts w:hAnsi="黑体"/>
          <w:b/>
          <w:sz w:val="32"/>
          <w:szCs w:val="32"/>
        </w:rPr>
      </w:pPr>
      <w:r>
        <w:rPr>
          <w:rFonts w:hint="eastAsia" w:hAnsi="黑体"/>
          <w:b/>
          <w:sz w:val="32"/>
          <w:szCs w:val="32"/>
        </w:rPr>
        <w:t>二、收入决算情况说明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仿宋_GB2312" w:hAnsi="宋体" w:eastAsia="仿宋_GB2312" w:cs="宋体"/>
          <w:sz w:val="32"/>
          <w:szCs w:val="32"/>
        </w:rPr>
        <w:t>15600.66万元，其中：财政拨款收入8733.85万元，占56%；事业收入5690.92万元，占36%；其他收入1175.89万元，占8%。</w:t>
      </w:r>
    </w:p>
    <w:p>
      <w:pPr>
        <w:pStyle w:val="23"/>
        <w:rPr>
          <w:rFonts w:hAnsi="黑体"/>
          <w:b/>
          <w:sz w:val="32"/>
          <w:szCs w:val="32"/>
        </w:rPr>
      </w:pPr>
      <w:r>
        <w:rPr>
          <w:rFonts w:hint="eastAsia" w:hAnsi="黑体"/>
          <w:b/>
          <w:sz w:val="32"/>
          <w:szCs w:val="32"/>
        </w:rPr>
        <w:t>三、支出决算情况说明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仿宋" w:hAnsi="仿宋" w:eastAsia="仿宋"/>
          <w:color w:val="auto"/>
          <w:sz w:val="32"/>
          <w:szCs w:val="32"/>
        </w:rPr>
        <w:t>14939.46</w:t>
      </w:r>
      <w:r>
        <w:rPr>
          <w:rFonts w:hint="eastAsia" w:asciiTheme="minorEastAsia" w:hAnsiTheme="minorEastAsia" w:eastAsiaTheme="minorEastAsia"/>
          <w:sz w:val="32"/>
          <w:szCs w:val="32"/>
        </w:rPr>
        <w:t>万元，其中：基本支出10100.06万元，占68%；项目支出4839.4万元，占32%。</w:t>
      </w:r>
    </w:p>
    <w:p>
      <w:pPr>
        <w:pStyle w:val="23"/>
        <w:rPr>
          <w:rFonts w:hAnsi="黑体"/>
          <w:b/>
          <w:sz w:val="32"/>
          <w:szCs w:val="32"/>
        </w:rPr>
      </w:pPr>
      <w:r>
        <w:rPr>
          <w:rFonts w:hint="eastAsia" w:hAnsi="黑体"/>
          <w:b/>
          <w:sz w:val="32"/>
          <w:szCs w:val="32"/>
        </w:rPr>
        <w:t>四、财政拨款收入支出决算总体情况说明</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w:t>
      </w:r>
      <w:r>
        <w:rPr>
          <w:rFonts w:hint="eastAsia" w:ascii="仿宋" w:hAnsi="仿宋" w:eastAsia="仿宋"/>
          <w:color w:val="auto"/>
          <w:sz w:val="32"/>
          <w:szCs w:val="32"/>
        </w:rPr>
        <w:t>财政拨款收入8733.85万元、支出8528.67万元</w:t>
      </w:r>
      <w:r>
        <w:rPr>
          <w:rFonts w:hint="eastAsia" w:asciiTheme="minorEastAsia" w:hAnsiTheme="minorEastAsia" w:eastAsiaTheme="minorEastAsia"/>
          <w:sz w:val="32"/>
          <w:szCs w:val="32"/>
        </w:rPr>
        <w:t>，与上年相比，收入减少10058.64万元,减少53.53%，主要是因为2019年有处置老校区拨款收入,2020年没有此项。</w:t>
      </w:r>
    </w:p>
    <w:p>
      <w:pPr>
        <w:pStyle w:val="23"/>
        <w:rPr>
          <w:rFonts w:hAnsi="黑体"/>
          <w:b/>
          <w:sz w:val="32"/>
          <w:szCs w:val="32"/>
        </w:rPr>
      </w:pPr>
      <w:r>
        <w:rPr>
          <w:rFonts w:hint="eastAsia" w:hAnsi="黑体"/>
          <w:b/>
          <w:sz w:val="32"/>
          <w:szCs w:val="32"/>
        </w:rPr>
        <w:t>五、一般公共预算财政拨款支出决算情况说明</w:t>
      </w:r>
    </w:p>
    <w:p>
      <w:pPr>
        <w:pStyle w:val="2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2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仿宋" w:hAnsi="仿宋" w:eastAsia="仿宋"/>
          <w:color w:val="auto"/>
          <w:sz w:val="32"/>
          <w:szCs w:val="32"/>
        </w:rPr>
        <w:t>8528.67</w:t>
      </w:r>
      <w:r>
        <w:rPr>
          <w:rFonts w:hint="eastAsia" w:asciiTheme="minorEastAsia" w:hAnsiTheme="minorEastAsia" w:eastAsiaTheme="minorEastAsia"/>
          <w:sz w:val="32"/>
          <w:szCs w:val="32"/>
        </w:rPr>
        <w:t>万元，占本年支出合计的57%。</w:t>
      </w:r>
    </w:p>
    <w:p>
      <w:pPr>
        <w:pStyle w:val="2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仿宋" w:hAnsi="仿宋" w:eastAsia="仿宋"/>
          <w:color w:val="auto"/>
          <w:sz w:val="32"/>
          <w:szCs w:val="32"/>
        </w:rPr>
        <w:t>8528.67</w:t>
      </w:r>
      <w:r>
        <w:rPr>
          <w:rFonts w:hint="eastAsia" w:asciiTheme="minorEastAsia" w:hAnsiTheme="minorEastAsia" w:eastAsiaTheme="minorEastAsia"/>
          <w:sz w:val="32"/>
          <w:szCs w:val="32"/>
        </w:rPr>
        <w:t>万元，主要用于以下方面：教育（类）支出</w:t>
      </w:r>
      <w:r>
        <w:rPr>
          <w:rFonts w:hint="eastAsia" w:ascii="仿宋" w:hAnsi="仿宋" w:eastAsia="仿宋"/>
          <w:color w:val="auto"/>
          <w:sz w:val="32"/>
          <w:szCs w:val="32"/>
        </w:rPr>
        <w:t>7364.4</w:t>
      </w:r>
      <w:r>
        <w:rPr>
          <w:rFonts w:hint="eastAsia" w:asciiTheme="minorEastAsia" w:hAnsiTheme="minorEastAsia" w:eastAsiaTheme="minorEastAsia"/>
          <w:sz w:val="32"/>
          <w:szCs w:val="32"/>
        </w:rPr>
        <w:t>万元，占86%;科学技术支出1.36万元，占1%；文化旅游体育与传媒支出652.11万元，占8%；社会保障和就业支出310.8万元，占3%；住房保障支出200万元，占2%。</w:t>
      </w:r>
    </w:p>
    <w:p>
      <w:pPr>
        <w:pStyle w:val="2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2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2020年度财政拨款支出年初预算数为5523.42万元，支出决算数为8528.67万元，完成年初预算的154%，其中：</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教育支出（类）职业教育（款）中等职业教育（项）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年初预算为0万元，支出决算为170.16万元，决算数大于年初预算数的主要原因是：均为追加中职学生资助。</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教育支出（类）职业教育（款）高等职业教育（项）</w:t>
      </w:r>
    </w:p>
    <w:p>
      <w:pPr>
        <w:pStyle w:val="23"/>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年初预算为5023.42万元，支出决算为7194.24万元，完成年初预算的</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%，决算数大于年初预算数的主要原因是：上年结余资金567万元，追加高校“十三五”基建补助1113万元，追加高职生均等490.82万元</w:t>
      </w:r>
      <w:r>
        <w:rPr>
          <w:rFonts w:hint="eastAsia" w:asciiTheme="minorEastAsia" w:hAnsiTheme="minorEastAsia" w:eastAsiaTheme="minorEastAsia"/>
          <w:sz w:val="32"/>
          <w:szCs w:val="32"/>
          <w:lang w:eastAsia="zh-CN"/>
        </w:rPr>
        <w:t>。</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科学技术支出（类）社会科学（款）其他社会科学支出（项）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年初预算为0万元，支出决算为1.36万元，决算数大于年初预算数的主要原因是：追加省社科基金课题经费。</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文化旅游体育与传媒支出（类）文化和旅游（款）其他文化和旅游支出（项）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年初预算为0万元，支出决算为647.81万元，，决算数大于年初预算数的主要原因是：上年结余228.89万元、追加文化发展专项经费、旅游发展专项、文化旅游体育和传媒支出等418.92万元。</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文化旅游体育与传媒支出（类）其他文化旅游体育与传媒支出（款）其他文化旅游体育与传媒支出（项）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年初预算为0万元，支出决算为4.3万元，决算数大于（小于）年初预算数的主要原因是：追加文化事业发展专项。</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年初预算为300万元，支出决算为300万元，完成年初预算的100%，决算数与年初预算数一致。</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社会保障和就业支出（类）就业补助（款）就业创业服务补贴（项）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年初预算为0万元，支出决算为10.8万元，决算数大于年初预算数的主要原因是：追加就业补助专项10.8万元。</w:t>
      </w:r>
    </w:p>
    <w:p>
      <w:pPr>
        <w:pStyle w:val="2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pPr>
        <w:pStyle w:val="2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年初预算为200万元，支出决算为200万元，完成年初预算的100%，决算数于年初预算数一致。</w:t>
      </w:r>
    </w:p>
    <w:p>
      <w:pPr>
        <w:pStyle w:val="23"/>
        <w:ind w:firstLine="800" w:firstLineChars="250"/>
        <w:rPr>
          <w:rFonts w:asciiTheme="minorEastAsia" w:hAnsiTheme="minorEastAsia" w:eastAsiaTheme="minorEastAsia"/>
          <w:sz w:val="32"/>
          <w:szCs w:val="32"/>
        </w:rPr>
      </w:pPr>
    </w:p>
    <w:p>
      <w:pPr>
        <w:pStyle w:val="23"/>
        <w:rPr>
          <w:rFonts w:hAnsi="黑体"/>
          <w:b/>
          <w:sz w:val="32"/>
          <w:szCs w:val="32"/>
        </w:rPr>
      </w:pPr>
      <w:r>
        <w:rPr>
          <w:rFonts w:hint="eastAsia" w:hAnsi="黑体"/>
          <w:b/>
          <w:sz w:val="32"/>
          <w:szCs w:val="32"/>
        </w:rPr>
        <w:t>六、一般公共预算财政拨款基本支出决算情况说明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4470.74万元，其中：人员经费4060.41万元，占基本支出的90%,主要包括基本工资、绩效、退休费、助学金等；公用经费410.33万元，占基本支出的10%，主要包括专用材料费、劳务费、专用设备购置费等。</w:t>
      </w:r>
    </w:p>
    <w:p>
      <w:pPr>
        <w:pStyle w:val="23"/>
        <w:rPr>
          <w:rFonts w:hAnsi="黑体"/>
          <w:b/>
          <w:sz w:val="32"/>
          <w:szCs w:val="32"/>
        </w:rPr>
      </w:pPr>
      <w:r>
        <w:rPr>
          <w:rFonts w:hint="eastAsia" w:hAnsi="黑体"/>
          <w:b/>
          <w:sz w:val="32"/>
          <w:szCs w:val="32"/>
        </w:rPr>
        <w:t>七、一般公共预算财政拨款三公经费支出决算情况说明</w:t>
      </w:r>
    </w:p>
    <w:p>
      <w:pPr>
        <w:pStyle w:val="2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2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“三公”经费财政拨款支出预算为20万元，支出决算为8.58万元，完成预算的42%，其中：</w:t>
      </w:r>
    </w:p>
    <w:p>
      <w:pPr>
        <w:pStyle w:val="2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公务接待费支出预算为10万元，支出决算为4.74万元，完成预算的47%，决算数小于预算数的主要原因是受疫情影响，公务接待减少。</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公务用车购置费及运行维护费支出预算为10万元，支出决算为3.84万元，完成预算的38%，决算数小于预算数的主要原因是受疫情影响，学院活动用车减少，公务用车运行维护费相应减少。</w:t>
      </w:r>
    </w:p>
    <w:p>
      <w:pPr>
        <w:pStyle w:val="2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2020年度“三公”经费财政拨款支出决算中，公务接待费支出决算4.47万元，占52%,公务用车购置费及运行维护费支出决算3.84万元，占48%。其中：</w:t>
      </w:r>
    </w:p>
    <w:p>
      <w:pPr>
        <w:pStyle w:val="2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1、公务接待费支出决算为4.47万元，国内公务接待113批次，共接待2852人次。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2、公务用车购置费及运行维护费支出决算为3.84万元，其中：</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公务用车运行维护费3.84万元，主要是车辆加油、维修等支出，截止2020年12月31日，我单位公务用车保有量为11辆。</w:t>
      </w:r>
    </w:p>
    <w:p>
      <w:pPr>
        <w:pStyle w:val="23"/>
        <w:rPr>
          <w:rFonts w:hAnsi="黑体"/>
          <w:b/>
          <w:sz w:val="32"/>
          <w:szCs w:val="32"/>
        </w:rPr>
      </w:pPr>
      <w:r>
        <w:rPr>
          <w:rFonts w:hint="eastAsia" w:hAnsi="黑体"/>
          <w:b/>
          <w:sz w:val="32"/>
          <w:szCs w:val="32"/>
        </w:rPr>
        <w:t>八、政府性基金预算收入支出决算情况</w:t>
      </w:r>
    </w:p>
    <w:p>
      <w:pPr>
        <w:pStyle w:val="23"/>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本单位无政府性基金收支</w:t>
      </w:r>
    </w:p>
    <w:p>
      <w:pPr>
        <w:pStyle w:val="23"/>
        <w:rPr>
          <w:rFonts w:hAnsi="黑体"/>
          <w:b/>
          <w:sz w:val="32"/>
          <w:szCs w:val="32"/>
        </w:rPr>
      </w:pPr>
      <w:r>
        <w:rPr>
          <w:rFonts w:hint="eastAsia" w:hAnsi="黑体"/>
          <w:b/>
          <w:sz w:val="32"/>
          <w:szCs w:val="32"/>
        </w:rPr>
        <w:t>九、关于机关运行经费支出说明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本部门2020年度机关运行经费支出410.33万元，比年初预算数减少78.91万元，降低16%。主要原因是：2020年疫情原因，实地办学时间缩短。</w:t>
      </w:r>
    </w:p>
    <w:p>
      <w:pPr>
        <w:pStyle w:val="23"/>
        <w:rPr>
          <w:rFonts w:hAnsi="黑体"/>
          <w:b/>
          <w:sz w:val="32"/>
          <w:szCs w:val="32"/>
        </w:rPr>
      </w:pPr>
      <w:r>
        <w:rPr>
          <w:rFonts w:hint="eastAsia" w:hAnsi="黑体"/>
          <w:b/>
          <w:sz w:val="32"/>
          <w:szCs w:val="32"/>
        </w:rPr>
        <w:t>十、一般性支出情况</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2020年本部门开支会议费0.91万元，主要为参加大学生心理评估培训会、参加“高等学校”十四五规划编织交流研讨会等支出；开支培训费164.89万元，主要为2020年学校组织的培训班。</w:t>
      </w:r>
    </w:p>
    <w:p>
      <w:pPr>
        <w:pStyle w:val="23"/>
        <w:rPr>
          <w:rFonts w:hAnsi="黑体"/>
          <w:b/>
          <w:sz w:val="32"/>
          <w:szCs w:val="32"/>
        </w:rPr>
      </w:pPr>
      <w:r>
        <w:rPr>
          <w:rFonts w:hint="eastAsia" w:hAnsi="黑体"/>
          <w:b/>
          <w:sz w:val="32"/>
          <w:szCs w:val="32"/>
        </w:rPr>
        <w:t>十一、关于政府采购支出说明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本部门2020年度政府采购支出总额520万元，</w:t>
      </w:r>
      <w:r>
        <w:rPr>
          <w:rFonts w:hint="eastAsia" w:asciiTheme="minorEastAsia" w:hAnsiTheme="minorEastAsia" w:eastAsiaTheme="minorEastAsia"/>
          <w:sz w:val="32"/>
          <w:szCs w:val="32"/>
          <w:lang w:eastAsia="zh-CN"/>
        </w:rPr>
        <w:t>其中新媒体</w:t>
      </w:r>
      <w:r>
        <w:rPr>
          <w:rFonts w:hint="eastAsia" w:asciiTheme="minorEastAsia" w:hAnsiTheme="minorEastAsia" w:eastAsiaTheme="minorEastAsia"/>
          <w:sz w:val="32"/>
          <w:szCs w:val="32"/>
          <w:lang w:val="en-US" w:eastAsia="zh-CN"/>
        </w:rPr>
        <w:t>APP系统200万元，2020年秋季-2021年春季教材采购320万元，</w:t>
      </w:r>
      <w:r>
        <w:rPr>
          <w:rFonts w:hint="eastAsia" w:asciiTheme="minorEastAsia" w:hAnsiTheme="minorEastAsia" w:eastAsiaTheme="minorEastAsia"/>
          <w:sz w:val="32"/>
          <w:szCs w:val="32"/>
        </w:rPr>
        <w:t>均为政府采购货物支出</w:t>
      </w:r>
      <w:r>
        <w:rPr>
          <w:rFonts w:hint="eastAsia" w:asciiTheme="minorEastAsia" w:hAnsiTheme="minorEastAsia" w:eastAsiaTheme="minorEastAsia"/>
          <w:sz w:val="32"/>
          <w:szCs w:val="32"/>
          <w:lang w:eastAsia="zh-CN"/>
        </w:rPr>
        <w:t>，中小企业占比为</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w:t>
      </w:r>
      <w:bookmarkStart w:id="3" w:name="_GoBack"/>
      <w:bookmarkEnd w:id="3"/>
    </w:p>
    <w:p>
      <w:pPr>
        <w:pStyle w:val="23"/>
        <w:rPr>
          <w:rFonts w:hAnsi="黑体"/>
          <w:b/>
          <w:sz w:val="32"/>
          <w:szCs w:val="32"/>
        </w:rPr>
      </w:pPr>
      <w:r>
        <w:rPr>
          <w:rFonts w:hint="eastAsia" w:hAnsi="黑体"/>
          <w:b/>
          <w:sz w:val="32"/>
          <w:szCs w:val="32"/>
        </w:rPr>
        <w:t>十二、关于国有资产占用情况说明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截至2020年12月31日，本单位共有车辆11辆，其中，其他用车11辆，其他用车主要是学校师生组织活动出行用车；单位价值50万元以上通用设备0台（套）；单位价值100万元以上专用设备0台（套）。</w:t>
      </w:r>
    </w:p>
    <w:p>
      <w:pPr>
        <w:pStyle w:val="23"/>
        <w:rPr>
          <w:rFonts w:hAnsi="黑体"/>
          <w:b/>
          <w:sz w:val="32"/>
          <w:szCs w:val="32"/>
        </w:rPr>
      </w:pPr>
      <w:r>
        <w:rPr>
          <w:rFonts w:hint="eastAsia" w:hAnsi="黑体"/>
          <w:b/>
          <w:sz w:val="32"/>
          <w:szCs w:val="32"/>
        </w:rPr>
        <w:t>十三、关于2020年度预算绩效情况的说明</w:t>
      </w: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本单位无2020年度预算绩效情况说明。</w:t>
      </w:r>
    </w:p>
    <w:p>
      <w:pPr>
        <w:pStyle w:val="23"/>
        <w:jc w:val="center"/>
        <w:rPr>
          <w:sz w:val="72"/>
          <w:szCs w:val="72"/>
        </w:rPr>
      </w:pPr>
    </w:p>
    <w:p>
      <w:pPr>
        <w:pStyle w:val="23"/>
        <w:jc w:val="center"/>
        <w:rPr>
          <w:sz w:val="72"/>
          <w:szCs w:val="72"/>
        </w:rPr>
      </w:pPr>
    </w:p>
    <w:p>
      <w:pPr>
        <w:pStyle w:val="2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ascii="黑体" w:eastAsia="黑体" w:cs="黑体"/>
          <w:color w:val="000000"/>
          <w:kern w:val="0"/>
          <w:sz w:val="70"/>
          <w:szCs w:val="70"/>
        </w:rPr>
      </w:pPr>
    </w:p>
    <w:p>
      <w:pPr>
        <w:pStyle w:val="2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一、机关运行经费：是指各部门的公用经费，包括办公及印刷费、邮电费、差旅费、会议费、福利费、日常维修费、专用资料及一般设备购置费、办公用房水电费、办公用房取</w:t>
      </w:r>
      <w:r>
        <w:rPr>
          <w:rFonts w:asciiTheme="minorEastAsia" w:hAnsiTheme="minorEastAsia" w:eastAsiaTheme="minorEastAsia"/>
          <w:sz w:val="32"/>
          <w:szCs w:val="32"/>
        </w:rPr>
        <w:t>暖费、办公用房物业管理费、公务用车运行维护费以及其他费用。</w:t>
      </w:r>
    </w:p>
    <w:p>
      <w:pPr>
        <w:pStyle w:val="23"/>
        <w:ind w:firstLine="640" w:firstLineChars="200"/>
        <w:rPr>
          <w:rFonts w:ascii="Arial" w:hAnsi="Arial" w:cs="Arial"/>
          <w:color w:val="333333"/>
          <w:sz w:val="18"/>
          <w:szCs w:val="18"/>
        </w:rPr>
      </w:pPr>
      <w:r>
        <w:rPr>
          <w:rFonts w:hint="eastAsia" w:asciiTheme="minorEastAsia" w:hAnsiTheme="minorEastAsia" w:eastAsiaTheme="minorEastAsia"/>
          <w:sz w:val="32"/>
          <w:szCs w:val="32"/>
        </w:rPr>
        <w:t>二、</w:t>
      </w:r>
      <w:r>
        <w:rPr>
          <w:rFonts w:asciiTheme="minorEastAsia" w:hAnsiTheme="minorEastAsia" w:eastAsiaTheme="minorEastAsia"/>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23"/>
        <w:jc w:val="center"/>
        <w:rPr>
          <w:sz w:val="72"/>
          <w:szCs w:val="72"/>
        </w:rPr>
      </w:pPr>
    </w:p>
    <w:p>
      <w:pPr>
        <w:pStyle w:val="23"/>
        <w:jc w:val="center"/>
        <w:rPr>
          <w:sz w:val="72"/>
          <w:szCs w:val="72"/>
        </w:rPr>
      </w:pPr>
    </w:p>
    <w:p>
      <w:pPr>
        <w:pStyle w:val="23"/>
        <w:jc w:val="center"/>
        <w:rPr>
          <w:sz w:val="72"/>
          <w:szCs w:val="72"/>
        </w:rPr>
      </w:pPr>
    </w:p>
    <w:p>
      <w:pPr>
        <w:pStyle w:val="23"/>
        <w:jc w:val="center"/>
        <w:rPr>
          <w:sz w:val="72"/>
          <w:szCs w:val="72"/>
        </w:rPr>
      </w:pPr>
    </w:p>
    <w:p>
      <w:pPr>
        <w:pStyle w:val="2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rPr>
          <w:rFonts w:cs="黑体" w:asciiTheme="minorEastAsia" w:hAnsiTheme="minorEastAsia"/>
          <w:color w:val="000000"/>
          <w:kern w:val="0"/>
          <w:sz w:val="32"/>
          <w:szCs w:val="32"/>
        </w:rPr>
      </w:pPr>
      <w:r>
        <w:rPr>
          <w:rFonts w:cs="黑体" w:asciiTheme="minorEastAsia" w:hAnsiTheme="minorEastAsia"/>
          <w:color w:val="000000"/>
          <w:kern w:val="0"/>
          <w:sz w:val="32"/>
          <w:szCs w:val="32"/>
        </w:rPr>
        <w:t>本单位无附件，单位2020年绩效评价情况纳入省文化和旅游厅部门整体支出绩效评价，已在厅门户网统一公开</w:t>
      </w:r>
      <w:r>
        <w:rPr>
          <w:rFonts w:hint="eastAsia" w:cs="黑体" w:asciiTheme="minorEastAsia" w:hAnsiTheme="minorEastAsia"/>
          <w:color w:val="000000"/>
          <w:kern w:val="0"/>
          <w:sz w:val="32"/>
          <w:szCs w:val="32"/>
        </w:rPr>
        <w:t>。</w:t>
      </w:r>
    </w:p>
    <w:sectPr>
      <w:headerReference r:id="rId3" w:type="default"/>
      <w:footerReference r:id="rId4"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38"/>
      </w:rPr>
    </w:pPr>
    <w:r>
      <w:fldChar w:fldCharType="begin"/>
    </w:r>
    <w:r>
      <w:rPr>
        <w:rStyle w:val="38"/>
      </w:rPr>
      <w:instrText xml:space="preserve">PAGE  </w:instrText>
    </w:r>
    <w:r>
      <w:fldChar w:fldCharType="separate"/>
    </w:r>
    <w:r>
      <w:rPr>
        <w:rStyle w:val="38"/>
      </w:rPr>
      <w:t>19</w:t>
    </w:r>
    <w:r>
      <w:fldChar w:fldCharType="end"/>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C7E26"/>
    <w:multiLevelType w:val="singleLevel"/>
    <w:tmpl w:val="D30C7E26"/>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5YTdmNDA1NzJjMzUxNGNkZmE2NjY4OWE2MWVjZDAifQ=="/>
  </w:docVars>
  <w:rsids>
    <w:rsidRoot w:val="004506F9"/>
    <w:rsid w:val="0002229B"/>
    <w:rsid w:val="000273BD"/>
    <w:rsid w:val="000415B7"/>
    <w:rsid w:val="00041E3F"/>
    <w:rsid w:val="00055DAA"/>
    <w:rsid w:val="00061F7B"/>
    <w:rsid w:val="000658A3"/>
    <w:rsid w:val="00074155"/>
    <w:rsid w:val="000A3F69"/>
    <w:rsid w:val="000D2735"/>
    <w:rsid w:val="00103957"/>
    <w:rsid w:val="00152C6D"/>
    <w:rsid w:val="00153664"/>
    <w:rsid w:val="00162D39"/>
    <w:rsid w:val="001678BD"/>
    <w:rsid w:val="00182A1B"/>
    <w:rsid w:val="001A67DB"/>
    <w:rsid w:val="001C3C29"/>
    <w:rsid w:val="001D51E5"/>
    <w:rsid w:val="001E080D"/>
    <w:rsid w:val="001E53D0"/>
    <w:rsid w:val="001F0C3B"/>
    <w:rsid w:val="00200CD5"/>
    <w:rsid w:val="00202C82"/>
    <w:rsid w:val="00214427"/>
    <w:rsid w:val="00226CB7"/>
    <w:rsid w:val="00231DF8"/>
    <w:rsid w:val="00264552"/>
    <w:rsid w:val="00264EF9"/>
    <w:rsid w:val="00265724"/>
    <w:rsid w:val="0027426B"/>
    <w:rsid w:val="002B2450"/>
    <w:rsid w:val="002E0A30"/>
    <w:rsid w:val="003130C4"/>
    <w:rsid w:val="00316C4B"/>
    <w:rsid w:val="0032192B"/>
    <w:rsid w:val="003479BD"/>
    <w:rsid w:val="00352F93"/>
    <w:rsid w:val="0036582E"/>
    <w:rsid w:val="0037197D"/>
    <w:rsid w:val="003768D5"/>
    <w:rsid w:val="003C47E6"/>
    <w:rsid w:val="003C4FC2"/>
    <w:rsid w:val="0041649D"/>
    <w:rsid w:val="00416E61"/>
    <w:rsid w:val="0042790C"/>
    <w:rsid w:val="004506F9"/>
    <w:rsid w:val="004717A2"/>
    <w:rsid w:val="00473DF3"/>
    <w:rsid w:val="00475BBA"/>
    <w:rsid w:val="00487911"/>
    <w:rsid w:val="00491741"/>
    <w:rsid w:val="004D17B8"/>
    <w:rsid w:val="00500E5F"/>
    <w:rsid w:val="005122EF"/>
    <w:rsid w:val="0051441A"/>
    <w:rsid w:val="00515B63"/>
    <w:rsid w:val="00517C33"/>
    <w:rsid w:val="00523644"/>
    <w:rsid w:val="0054069E"/>
    <w:rsid w:val="00544866"/>
    <w:rsid w:val="005767CC"/>
    <w:rsid w:val="00590D9F"/>
    <w:rsid w:val="00595D26"/>
    <w:rsid w:val="005A74E6"/>
    <w:rsid w:val="005B404E"/>
    <w:rsid w:val="005D265C"/>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2780"/>
    <w:rsid w:val="006F3EB5"/>
    <w:rsid w:val="00702E34"/>
    <w:rsid w:val="00704395"/>
    <w:rsid w:val="00717621"/>
    <w:rsid w:val="00720FF1"/>
    <w:rsid w:val="00726DD9"/>
    <w:rsid w:val="00727A53"/>
    <w:rsid w:val="00787B42"/>
    <w:rsid w:val="007C4539"/>
    <w:rsid w:val="007F3657"/>
    <w:rsid w:val="00812ED5"/>
    <w:rsid w:val="008277D9"/>
    <w:rsid w:val="0084478C"/>
    <w:rsid w:val="0086638C"/>
    <w:rsid w:val="008A3E8D"/>
    <w:rsid w:val="008E70EA"/>
    <w:rsid w:val="009237C4"/>
    <w:rsid w:val="00944C48"/>
    <w:rsid w:val="00950252"/>
    <w:rsid w:val="00967F5D"/>
    <w:rsid w:val="009A0F95"/>
    <w:rsid w:val="009B3ADF"/>
    <w:rsid w:val="009B622D"/>
    <w:rsid w:val="009C3B52"/>
    <w:rsid w:val="009E6817"/>
    <w:rsid w:val="009E6E9A"/>
    <w:rsid w:val="00A01D2B"/>
    <w:rsid w:val="00A05F19"/>
    <w:rsid w:val="00A31F18"/>
    <w:rsid w:val="00A42218"/>
    <w:rsid w:val="00A70249"/>
    <w:rsid w:val="00A70B02"/>
    <w:rsid w:val="00A71D9F"/>
    <w:rsid w:val="00A92E9F"/>
    <w:rsid w:val="00B33BEA"/>
    <w:rsid w:val="00B57C9F"/>
    <w:rsid w:val="00B63572"/>
    <w:rsid w:val="00B845B3"/>
    <w:rsid w:val="00B855D0"/>
    <w:rsid w:val="00B85D8B"/>
    <w:rsid w:val="00BB4A40"/>
    <w:rsid w:val="00BD6C3E"/>
    <w:rsid w:val="00BE3674"/>
    <w:rsid w:val="00C10681"/>
    <w:rsid w:val="00C3049A"/>
    <w:rsid w:val="00C31B1E"/>
    <w:rsid w:val="00C3385F"/>
    <w:rsid w:val="00C61D9E"/>
    <w:rsid w:val="00C77645"/>
    <w:rsid w:val="00CE04C3"/>
    <w:rsid w:val="00CE76A0"/>
    <w:rsid w:val="00D05068"/>
    <w:rsid w:val="00D148C6"/>
    <w:rsid w:val="00D17A8A"/>
    <w:rsid w:val="00D415BA"/>
    <w:rsid w:val="00D644EE"/>
    <w:rsid w:val="00DD06FF"/>
    <w:rsid w:val="00DD5FE9"/>
    <w:rsid w:val="00E00C7A"/>
    <w:rsid w:val="00E37D6C"/>
    <w:rsid w:val="00E55B68"/>
    <w:rsid w:val="00E67BE6"/>
    <w:rsid w:val="00E8683C"/>
    <w:rsid w:val="00EA2B72"/>
    <w:rsid w:val="00F26CD5"/>
    <w:rsid w:val="00F74360"/>
    <w:rsid w:val="00FB462F"/>
    <w:rsid w:val="00FE16FA"/>
    <w:rsid w:val="00FE328A"/>
    <w:rsid w:val="00FE6269"/>
    <w:rsid w:val="00FF5CD6"/>
    <w:rsid w:val="010218A3"/>
    <w:rsid w:val="018B63AD"/>
    <w:rsid w:val="087C7F1F"/>
    <w:rsid w:val="09D037DA"/>
    <w:rsid w:val="0A826C04"/>
    <w:rsid w:val="0F9019F0"/>
    <w:rsid w:val="10C13457"/>
    <w:rsid w:val="150550B4"/>
    <w:rsid w:val="185770D1"/>
    <w:rsid w:val="191103E9"/>
    <w:rsid w:val="19587E63"/>
    <w:rsid w:val="196270EE"/>
    <w:rsid w:val="1DE70AC5"/>
    <w:rsid w:val="2119248A"/>
    <w:rsid w:val="2166012E"/>
    <w:rsid w:val="21EC00BA"/>
    <w:rsid w:val="241320BA"/>
    <w:rsid w:val="24D329D2"/>
    <w:rsid w:val="25542E6A"/>
    <w:rsid w:val="256716A4"/>
    <w:rsid w:val="273369A9"/>
    <w:rsid w:val="28626557"/>
    <w:rsid w:val="28CD6281"/>
    <w:rsid w:val="28EC6D5C"/>
    <w:rsid w:val="2A9126AB"/>
    <w:rsid w:val="2ACC25CF"/>
    <w:rsid w:val="36C15152"/>
    <w:rsid w:val="38E2721C"/>
    <w:rsid w:val="3AFF66C8"/>
    <w:rsid w:val="3C735B7D"/>
    <w:rsid w:val="3CCF6AAC"/>
    <w:rsid w:val="3FA34E2B"/>
    <w:rsid w:val="43176B46"/>
    <w:rsid w:val="43DF13D4"/>
    <w:rsid w:val="46126DF7"/>
    <w:rsid w:val="467C253C"/>
    <w:rsid w:val="472D1FE2"/>
    <w:rsid w:val="47915C28"/>
    <w:rsid w:val="47D0425A"/>
    <w:rsid w:val="49967093"/>
    <w:rsid w:val="520F6A79"/>
    <w:rsid w:val="52910E21"/>
    <w:rsid w:val="5BD61DEE"/>
    <w:rsid w:val="5C7E3269"/>
    <w:rsid w:val="5D096ED0"/>
    <w:rsid w:val="5E1771E0"/>
    <w:rsid w:val="5E2B2F18"/>
    <w:rsid w:val="5FE867AF"/>
    <w:rsid w:val="5FF2226C"/>
    <w:rsid w:val="5FF3207D"/>
    <w:rsid w:val="60A94DA1"/>
    <w:rsid w:val="62E36709"/>
    <w:rsid w:val="6C440DA1"/>
    <w:rsid w:val="6CD24E9F"/>
    <w:rsid w:val="6E920351"/>
    <w:rsid w:val="6F0728CD"/>
    <w:rsid w:val="72A45E14"/>
    <w:rsid w:val="74E938B7"/>
    <w:rsid w:val="7755389F"/>
    <w:rsid w:val="78186DD1"/>
    <w:rsid w:val="78CE7072"/>
    <w:rsid w:val="7A357365"/>
    <w:rsid w:val="7ACE526F"/>
    <w:rsid w:val="7BF0214A"/>
    <w:rsid w:val="7F60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line="600" w:lineRule="exact"/>
      <w:ind w:left="100" w:leftChars="100" w:firstLine="100" w:firstLineChars="100"/>
      <w:outlineLvl w:val="0"/>
    </w:pPr>
    <w:rPr>
      <w:rFonts w:ascii="Calibri" w:hAnsi="Calibri" w:eastAsia="黑体" w:cs="Times New Roman"/>
      <w:bCs/>
      <w:kern w:val="44"/>
      <w:sz w:val="32"/>
      <w:szCs w:val="44"/>
    </w:rPr>
  </w:style>
  <w:style w:type="paragraph" w:styleId="3">
    <w:name w:val="heading 2"/>
    <w:basedOn w:val="1"/>
    <w:next w:val="1"/>
    <w:link w:val="31"/>
    <w:unhideWhenUsed/>
    <w:qFormat/>
    <w:uiPriority w:val="9"/>
    <w:pPr>
      <w:keepNext/>
      <w:keepLines/>
      <w:spacing w:line="360" w:lineRule="auto"/>
      <w:ind w:firstLine="200" w:firstLineChars="200"/>
      <w:outlineLvl w:val="1"/>
    </w:pPr>
    <w:rPr>
      <w:rFonts w:eastAsia="楷体_GB2312" w:asciiTheme="majorHAnsi" w:hAnsiTheme="majorHAnsi" w:cstheme="majorBidi"/>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99"/>
    <w:pPr>
      <w:spacing w:line="600" w:lineRule="exact"/>
      <w:ind w:firstLine="200" w:firstLineChars="200"/>
    </w:pPr>
    <w:rPr>
      <w:rFonts w:ascii="宋体" w:hAnsi="仿宋" w:eastAsia="宋体"/>
      <w:sz w:val="18"/>
      <w:szCs w:val="18"/>
    </w:rPr>
  </w:style>
  <w:style w:type="paragraph" w:styleId="5">
    <w:name w:val="annotation text"/>
    <w:basedOn w:val="1"/>
    <w:link w:val="27"/>
    <w:semiHidden/>
    <w:unhideWhenUsed/>
    <w:qFormat/>
    <w:uiPriority w:val="99"/>
    <w:pPr>
      <w:spacing w:line="600" w:lineRule="exact"/>
      <w:ind w:firstLine="200" w:firstLineChars="200"/>
    </w:pPr>
    <w:rPr>
      <w:rFonts w:ascii="仿宋" w:hAnsi="仿宋" w:eastAsia="仿宋"/>
      <w:sz w:val="32"/>
    </w:rPr>
  </w:style>
  <w:style w:type="paragraph" w:styleId="6">
    <w:name w:val="Body Text Indent"/>
    <w:basedOn w:val="1"/>
    <w:link w:val="35"/>
    <w:qFormat/>
    <w:uiPriority w:val="0"/>
    <w:pPr>
      <w:ind w:firstLine="630"/>
    </w:pPr>
    <w:rPr>
      <w:rFonts w:ascii="仿宋_GB2312" w:hAnsi="Times New Roman" w:eastAsia="仿宋_GB2312" w:cs="Times New Roman"/>
      <w:sz w:val="32"/>
      <w:szCs w:val="20"/>
    </w:rPr>
  </w:style>
  <w:style w:type="paragraph" w:styleId="7">
    <w:name w:val="Date"/>
    <w:basedOn w:val="1"/>
    <w:next w:val="1"/>
    <w:link w:val="33"/>
    <w:semiHidden/>
    <w:unhideWhenUsed/>
    <w:qFormat/>
    <w:uiPriority w:val="99"/>
    <w:pPr>
      <w:spacing w:line="600" w:lineRule="exact"/>
      <w:ind w:left="100" w:leftChars="2500" w:firstLine="200" w:firstLineChars="200"/>
    </w:pPr>
    <w:rPr>
      <w:rFonts w:ascii="仿宋" w:hAnsi="仿宋" w:eastAsia="仿宋"/>
      <w:sz w:val="32"/>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2"/>
    <w:basedOn w:val="1"/>
    <w:link w:val="37"/>
    <w:qFormat/>
    <w:uiPriority w:val="0"/>
    <w:pPr>
      <w:spacing w:after="120" w:line="480" w:lineRule="auto"/>
    </w:pPr>
    <w:rPr>
      <w:rFonts w:ascii="Times New Roman" w:hAnsi="Times New Roman" w:eastAsia="宋体" w:cs="Times New Roman"/>
      <w:szCs w:val="20"/>
    </w:rPr>
  </w:style>
  <w:style w:type="paragraph" w:styleId="13">
    <w:name w:val="Normal (Web)"/>
    <w:basedOn w:val="1"/>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paragraph" w:styleId="14">
    <w:name w:val="Title"/>
    <w:basedOn w:val="1"/>
    <w:next w:val="1"/>
    <w:link w:val="32"/>
    <w:qFormat/>
    <w:uiPriority w:val="10"/>
    <w:pPr>
      <w:spacing w:line="600" w:lineRule="exact"/>
      <w:ind w:firstLine="200" w:firstLineChars="200"/>
      <w:jc w:val="left"/>
      <w:outlineLvl w:val="0"/>
    </w:pPr>
    <w:rPr>
      <w:rFonts w:eastAsia="仿宋_GB2312" w:asciiTheme="majorHAnsi" w:hAnsiTheme="majorHAnsi" w:cstheme="majorBidi"/>
      <w:bCs/>
      <w:sz w:val="32"/>
      <w:szCs w:val="32"/>
    </w:rPr>
  </w:style>
  <w:style w:type="paragraph" w:styleId="15">
    <w:name w:val="annotation subject"/>
    <w:basedOn w:val="5"/>
    <w:next w:val="5"/>
    <w:link w:val="28"/>
    <w:semiHidden/>
    <w:unhideWhenUsed/>
    <w:qFormat/>
    <w:uiPriority w:val="99"/>
    <w:rPr>
      <w:b/>
      <w:bCs/>
    </w:rPr>
  </w:style>
  <w:style w:type="table" w:styleId="17">
    <w:name w:val="Table Grid"/>
    <w:basedOn w:val="1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rFonts w:asciiTheme="minorHAnsi" w:hAnsiTheme="minorHAnsi" w:eastAsiaTheme="minorEastAsia" w:cstheme="minorBidi"/>
      <w:b/>
      <w:bCs/>
      <w:lang w:val="en-US" w:eastAsia="zh-CN" w:bidi="ar-SA"/>
    </w:rPr>
  </w:style>
  <w:style w:type="character" w:styleId="20">
    <w:name w:val="annotation reference"/>
    <w:basedOn w:val="18"/>
    <w:semiHidden/>
    <w:unhideWhenUsed/>
    <w:qFormat/>
    <w:uiPriority w:val="99"/>
    <w:rPr>
      <w:rFonts w:asciiTheme="minorHAnsi" w:hAnsiTheme="minorHAnsi" w:eastAsiaTheme="minorEastAsia" w:cstheme="minorBidi"/>
      <w:sz w:val="21"/>
      <w:szCs w:val="21"/>
      <w:lang w:val="en-US" w:eastAsia="zh-CN" w:bidi="ar-SA"/>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批注框文本 Char"/>
    <w:basedOn w:val="18"/>
    <w:link w:val="8"/>
    <w:semiHidden/>
    <w:qFormat/>
    <w:uiPriority w:val="99"/>
    <w:rPr>
      <w:sz w:val="18"/>
      <w:szCs w:val="18"/>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Chars="200"/>
    </w:pPr>
    <w:rPr>
      <w:rFonts w:ascii="Verdana" w:hAnsi="Verdana" w:eastAsia="仿宋_GB2312" w:cs="Times New Roman"/>
      <w:kern w:val="0"/>
      <w:sz w:val="24"/>
      <w:szCs w:val="20"/>
      <w:lang w:eastAsia="en-US"/>
    </w:rPr>
  </w:style>
  <w:style w:type="character" w:customStyle="1" w:styleId="27">
    <w:name w:val="批注文字 Char"/>
    <w:basedOn w:val="18"/>
    <w:link w:val="5"/>
    <w:semiHidden/>
    <w:qFormat/>
    <w:uiPriority w:val="99"/>
    <w:rPr>
      <w:rFonts w:asciiTheme="minorHAnsi" w:hAnsiTheme="minorHAnsi" w:eastAsiaTheme="minorEastAsia" w:cstheme="minorBidi"/>
      <w:lang w:val="en-US" w:eastAsia="zh-CN" w:bidi="ar-SA"/>
    </w:rPr>
  </w:style>
  <w:style w:type="character" w:customStyle="1" w:styleId="28">
    <w:name w:val="批注主题 Char"/>
    <w:basedOn w:val="27"/>
    <w:link w:val="15"/>
    <w:semiHidden/>
    <w:qFormat/>
    <w:uiPriority w:val="99"/>
    <w:rPr>
      <w:b/>
      <w:bCs/>
    </w:rPr>
  </w:style>
  <w:style w:type="character" w:customStyle="1" w:styleId="29">
    <w:name w:val="文档结构图 Char"/>
    <w:basedOn w:val="18"/>
    <w:link w:val="4"/>
    <w:semiHidden/>
    <w:qFormat/>
    <w:uiPriority w:val="99"/>
    <w:rPr>
      <w:rFonts w:ascii="宋体" w:eastAsia="宋体" w:hAnsiTheme="minorHAnsi" w:cstheme="minorBidi"/>
      <w:sz w:val="18"/>
      <w:szCs w:val="18"/>
      <w:lang w:val="en-US" w:eastAsia="zh-CN" w:bidi="ar-SA"/>
    </w:rPr>
  </w:style>
  <w:style w:type="character" w:customStyle="1" w:styleId="30">
    <w:name w:val="标题 1 Char"/>
    <w:basedOn w:val="18"/>
    <w:link w:val="2"/>
    <w:qFormat/>
    <w:uiPriority w:val="0"/>
    <w:rPr>
      <w:rFonts w:ascii="Calibri" w:hAnsi="Calibri" w:eastAsia="黑体" w:cs="Times New Roman"/>
      <w:bCs/>
      <w:kern w:val="44"/>
      <w:szCs w:val="44"/>
      <w:lang w:val="en-US" w:eastAsia="zh-CN" w:bidi="ar-SA"/>
    </w:rPr>
  </w:style>
  <w:style w:type="character" w:customStyle="1" w:styleId="31">
    <w:name w:val="标题 2 Char"/>
    <w:basedOn w:val="18"/>
    <w:link w:val="3"/>
    <w:qFormat/>
    <w:uiPriority w:val="9"/>
    <w:rPr>
      <w:rFonts w:eastAsia="楷体_GB2312" w:asciiTheme="majorHAnsi" w:hAnsiTheme="majorHAnsi" w:cstheme="majorBidi"/>
      <w:bCs/>
      <w:szCs w:val="32"/>
      <w:lang w:val="en-US" w:eastAsia="zh-CN" w:bidi="ar-SA"/>
    </w:rPr>
  </w:style>
  <w:style w:type="character" w:customStyle="1" w:styleId="32">
    <w:name w:val="标题 Char"/>
    <w:basedOn w:val="18"/>
    <w:link w:val="14"/>
    <w:qFormat/>
    <w:uiPriority w:val="10"/>
    <w:rPr>
      <w:rFonts w:eastAsia="仿宋_GB2312" w:asciiTheme="majorHAnsi" w:hAnsiTheme="majorHAnsi" w:cstheme="majorBidi"/>
      <w:bCs/>
      <w:szCs w:val="32"/>
      <w:lang w:val="en-US" w:eastAsia="zh-CN" w:bidi="ar-SA"/>
    </w:rPr>
  </w:style>
  <w:style w:type="character" w:customStyle="1" w:styleId="33">
    <w:name w:val="日期 Char"/>
    <w:basedOn w:val="18"/>
    <w:link w:val="7"/>
    <w:semiHidden/>
    <w:qFormat/>
    <w:uiPriority w:val="99"/>
    <w:rPr>
      <w:rFonts w:asciiTheme="minorHAnsi" w:hAnsiTheme="minorHAnsi" w:eastAsiaTheme="minorEastAsia" w:cstheme="minorBidi"/>
      <w:lang w:val="en-US" w:eastAsia="zh-CN" w:bidi="ar-SA"/>
    </w:rPr>
  </w:style>
  <w:style w:type="paragraph" w:customStyle="1" w:styleId="34">
    <w:name w:val="Other|1"/>
    <w:basedOn w:val="1"/>
    <w:qFormat/>
    <w:uiPriority w:val="0"/>
    <w:pPr>
      <w:spacing w:line="437" w:lineRule="auto"/>
      <w:ind w:firstLine="400" w:firstLineChars="200"/>
    </w:pPr>
    <w:rPr>
      <w:rFonts w:ascii="宋体" w:hAnsi="宋体" w:eastAsia="宋体" w:cs="宋体"/>
      <w:sz w:val="30"/>
      <w:szCs w:val="30"/>
      <w:lang w:val="zh-TW" w:eastAsia="zh-TW" w:bidi="zh-TW"/>
    </w:rPr>
  </w:style>
  <w:style w:type="character" w:customStyle="1" w:styleId="35">
    <w:name w:val="正文文本缩进 Char"/>
    <w:basedOn w:val="18"/>
    <w:link w:val="6"/>
    <w:qFormat/>
    <w:uiPriority w:val="0"/>
    <w:rPr>
      <w:rFonts w:ascii="仿宋_GB2312" w:hAnsi="Times New Roman" w:eastAsia="仿宋_GB2312" w:cs="Times New Roman"/>
      <w:szCs w:val="20"/>
      <w:lang w:val="en-US" w:eastAsia="zh-CN" w:bidi="ar-SA"/>
    </w:rPr>
  </w:style>
  <w:style w:type="character" w:customStyle="1" w:styleId="36">
    <w:name w:val="副标题 Char"/>
    <w:basedOn w:val="18"/>
    <w:link w:val="11"/>
    <w:qFormat/>
    <w:uiPriority w:val="0"/>
    <w:rPr>
      <w:rFonts w:ascii="Cambria" w:hAnsi="Cambria" w:eastAsia="宋体" w:cs="Times New Roman"/>
      <w:b/>
      <w:bCs/>
      <w:kern w:val="28"/>
      <w:szCs w:val="32"/>
      <w:lang w:val="en-US" w:eastAsia="zh-CN" w:bidi="ar-SA"/>
    </w:rPr>
  </w:style>
  <w:style w:type="character" w:customStyle="1" w:styleId="37">
    <w:name w:val="正文文本 2 Char"/>
    <w:basedOn w:val="18"/>
    <w:link w:val="12"/>
    <w:qFormat/>
    <w:uiPriority w:val="0"/>
    <w:rPr>
      <w:rFonts w:ascii="Times New Roman" w:hAnsi="Times New Roman" w:eastAsia="宋体" w:cs="Times New Roman"/>
      <w:sz w:val="21"/>
      <w:szCs w:val="20"/>
      <w:lang w:val="en-US" w:eastAsia="zh-CN" w:bidi="ar-SA"/>
    </w:rPr>
  </w:style>
  <w:style w:type="character" w:customStyle="1" w:styleId="38">
    <w:name w:val="页码1"/>
    <w:basedOn w:val="18"/>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A266-3442-4138-B3B7-978DB0F435F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6615</Words>
  <Characters>8606</Characters>
  <Lines>84</Lines>
  <Paragraphs>23</Paragraphs>
  <TotalTime>2</TotalTime>
  <ScaleCrop>false</ScaleCrop>
  <LinksUpToDate>false</LinksUpToDate>
  <CharactersWithSpaces>10047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2021-09-16T03:13:00Z</dcterms:created>
  <dc:creator>lenovo-pc</dc:creator>
  <cp:lastModifiedBy>艺校财务</cp:lastModifiedBy>
  <cp:lastPrinted>2018-08-20T07:40:00Z</cp:lastPrinted>
  <dcterms:modified xsi:type="dcterms:W3CDTF">2022-09-06T08:23:53Z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607A3294058D496CA0DA24A28584ED8B</vt:lpwstr>
  </property>
</Properties>
</file>